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49A3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A749A3">
      <w:pPr>
        <w:pStyle w:val="FORMATTEXT"/>
        <w:jc w:val="right"/>
      </w:pPr>
      <w:r>
        <w:t>ПРИНЯТ</w:t>
      </w:r>
    </w:p>
    <w:p w:rsidR="00000000" w:rsidRDefault="00A749A3">
      <w:pPr>
        <w:pStyle w:val="FORMATTEXT"/>
        <w:jc w:val="right"/>
      </w:pPr>
      <w:r>
        <w:fldChar w:fldCharType="begin"/>
      </w:r>
      <w:r>
        <w:instrText xml:space="preserve"> HYPERLINK "kodeks://link/d?nd=499032130&amp;point=mark=000000000000000000000000000000000000000000000</w:instrText>
      </w:r>
      <w:r>
        <w:instrText>000007D20K3"\o"’’О техническом регламенте Таможенного союза ’’О безопасности оборудования, работающего под избыточным давлением’’</w:instrText>
      </w:r>
    </w:p>
    <w:p w:rsidR="00000000" w:rsidRDefault="00A749A3">
      <w:pPr>
        <w:pStyle w:val="FORMATTEXT"/>
        <w:jc w:val="right"/>
      </w:pPr>
      <w:r>
        <w:instrText>Решение Совета ЕЭК от 02.07.2013 N 41</w:instrText>
      </w:r>
    </w:p>
    <w:p w:rsidR="00000000" w:rsidRDefault="00A749A3">
      <w:pPr>
        <w:pStyle w:val="FORMATTEXT"/>
        <w:jc w:val="right"/>
        <w:rPr>
          <w:color w:val="0000AA"/>
          <w:u w:val="single"/>
        </w:rPr>
      </w:pPr>
      <w:r>
        <w:instrText>Статус: действует с 02.08.2013"</w:instrText>
      </w:r>
      <w:r>
        <w:fldChar w:fldCharType="separate"/>
      </w:r>
      <w:r>
        <w:rPr>
          <w:color w:val="0000AA"/>
          <w:u w:val="single"/>
        </w:rPr>
        <w:t>Решением Совета</w:t>
      </w:r>
    </w:p>
    <w:p w:rsidR="00000000" w:rsidRDefault="00A749A3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Евразийской экономической комиссии</w:t>
      </w:r>
    </w:p>
    <w:p w:rsidR="00000000" w:rsidRDefault="00A749A3">
      <w:pPr>
        <w:pStyle w:val="FORMATTEXT"/>
        <w:jc w:val="right"/>
      </w:pPr>
      <w:r>
        <w:rPr>
          <w:color w:val="0000AA"/>
          <w:u w:val="single"/>
        </w:rPr>
        <w:t>от 2 и</w:t>
      </w:r>
      <w:r>
        <w:rPr>
          <w:color w:val="0000AA"/>
          <w:u w:val="single"/>
        </w:rPr>
        <w:t>юля 2013 года N 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Технический регламент Таможенного союза "О безопасности оборудования, работающего под избыточным давлением" (ТР ТС 032/2013) </w:t>
      </w:r>
    </w:p>
    <w:p w:rsidR="00000000" w:rsidRDefault="00A749A3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5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"kodeks://link/d?nd=499079171&amp;point=mark=000000000000000000000000000000000000000000000000006500IL"\o"’’О перечне стандартов, в результате применения которых на добровольной основе ...’’</w:instrText>
            </w:r>
          </w:p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Коллегии ЕЭК от 25.02.2014 N 22</w:instrText>
            </w:r>
          </w:p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</w:instrText>
            </w:r>
            <w:r>
              <w:rPr>
                <w:sz w:val="18"/>
                <w:szCs w:val="18"/>
              </w:rPr>
              <w:instrText>ий  (действ. с 28.03.2014 по 13.07.2019)"</w:instrText>
            </w:r>
            <w:r w:rsidR="008B245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Перечни документов по стандартизации, обеспечивающих соблюдение требований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"kodeks://link/d?nd=552233006&amp;point=mark=00000000000000000000000000000000000000000000000</w:instrText>
            </w:r>
            <w:r>
              <w:rPr>
                <w:sz w:val="18"/>
                <w:szCs w:val="18"/>
              </w:rPr>
              <w:instrText>0006540IN"\o"’’Об утверждении перечня продукции, в отношении которой подача таможенной декларации сопровождается ...’’</w:instrText>
            </w:r>
          </w:p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Коллегии ЕЭК от 22.01.2019 N 12</w:instrText>
            </w:r>
          </w:p>
          <w:p w:rsidR="00000000" w:rsidRDefault="00A749A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27.02.2019"</w:instrText>
            </w:r>
            <w:r w:rsidR="008B245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Перечень продукции, в отношении которой подача таможенной декларац</w:t>
            </w:r>
            <w:r>
              <w:rPr>
                <w:color w:val="0000AA"/>
                <w:sz w:val="18"/>
                <w:szCs w:val="18"/>
                <w:u w:val="single"/>
              </w:rPr>
              <w:t>ии сопровождается представлением документа об оценке соответствия (сведений о документе об оценке соответствия) требованиям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  <w:ind w:firstLine="568"/>
        <w:jc w:val="both"/>
      </w:pPr>
      <w:r>
        <w:t xml:space="preserve">Настоящий технический регламент разработан в соответствии с </w:t>
      </w:r>
      <w:r>
        <w:fldChar w:fldCharType="begin"/>
      </w:r>
      <w:r>
        <w:instrText xml:space="preserve"> HYPERLINK "kodeks://link/d?nd</w:instrText>
      </w:r>
      <w:r>
        <w:instrText>=902253396&amp;point=mark=0000000000000000000000000000000000000000000000000064U0IK"\o"’’Соглашение о единых принципах и правилах технического регулирования в Республике Беларусь ...’’</w:instrText>
      </w:r>
    </w:p>
    <w:p w:rsidR="00000000" w:rsidRDefault="00A749A3">
      <w:pPr>
        <w:pStyle w:val="FORMATTEXT"/>
        <w:ind w:firstLine="568"/>
        <w:jc w:val="both"/>
      </w:pPr>
      <w:r>
        <w:instrText>Международное соглашение от 18.11.2010</w:instrText>
      </w:r>
    </w:p>
    <w:p w:rsidR="00000000" w:rsidRDefault="00A749A3">
      <w:pPr>
        <w:pStyle w:val="FORMATTEXT"/>
        <w:ind w:firstLine="568"/>
        <w:jc w:val="both"/>
      </w:pPr>
      <w:r>
        <w:instrText>Статус: недействующий  (действ. с 01.</w:instrText>
      </w:r>
      <w:r>
        <w:instrText>01.2012 по 31.12.2014)"</w:instrText>
      </w:r>
      <w:r>
        <w:fldChar w:fldCharType="separate"/>
      </w:r>
      <w:r>
        <w:rPr>
          <w:color w:val="BF2F1C"/>
          <w:u w:val="single"/>
        </w:rPr>
        <w:t>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Настоящий технический регламент устанавливает на таможенной территор</w:t>
      </w:r>
      <w:r>
        <w:t>ии Таможенного союза единые обязательные для применения и исполнения требования безопасности к оборудованию, работающему под избыточным давлением, впервые выпускаемому в обращение и предназначенному для применения на таможенной территории Таможенного союза</w:t>
      </w:r>
      <w:r>
        <w:t xml:space="preserve"> (далее - оборудование), обеспечивающие свободное перемещение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Если в отношении оборудования приняты иные технические регламенты Таможенного союза, устанавливающие требования к нему, то такое оборудование должно соответствовать также требован</w:t>
      </w:r>
      <w:r>
        <w:t>иям этих технических регламентов Таможенного союза.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000000" w:rsidRDefault="00A749A3">
      <w:pPr>
        <w:pStyle w:val="FORMATTEXT"/>
        <w:ind w:firstLine="568"/>
        <w:jc w:val="both"/>
      </w:pPr>
      <w:r>
        <w:t>1. Настоящий технический регламент устанавливает требования безопасности к оборудованию при разработке (проектировании), производстве (изготовлении), а также требования к маркиро</w:t>
      </w:r>
      <w:r>
        <w:t>вке оборудования в целях защиты жизни и здоровья человека, имущества, предупреждения действий, вводящих в заблуждение потребителей.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2. Настоящий технический регламент распространяется на следующие виды оборудования: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а) сосуды, предназначенные для газов, </w:t>
      </w:r>
      <w:r>
        <w:t>сжиженных газов, растворенных под давлением, и паров, используемые для рабочих сред группы 1 и имеющие: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рабочее давление свыше 0,05 МПа, вместимость более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произведение значения максимальн</w:t>
      </w:r>
      <w:r>
        <w:t>о допустимого рабочего давления на значение вместимости, составляющее свыше 0,0025 МПа ·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рабочее давление свыше 20 МПа, вместимость свыше 0,0001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включительно.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сосудов, предназначенных для газов и используемых для рабочих сред группы 1, приведены в </w:t>
      </w:r>
      <w:r>
        <w:fldChar w:fldCharType="begin"/>
      </w:r>
      <w:r>
        <w:instrText xml:space="preserve"> HYPERLINK "kodeks://link/d?nd=499031170&amp;point=mark=000000000000000000000000000000000000000000000000008Q20M3</w:instrText>
      </w:r>
      <w:r>
        <w:instrText>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таблице 1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сосуды, предназначенные для газов, сжиженных газов, растворенных под давлением, и паров, используемые для рабочих сред группы 2 и имеющие: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рабочее давление свыш</w:t>
      </w:r>
      <w:r>
        <w:t>е 0,05 МПа, вместимость более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произведение значения максимально допустимого рабочего давления на значение вместимости, составляющее свыше 0,005 МПа ·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</w:t>
      </w:r>
      <w:r>
        <w:t>ое рабочее давление свыше 100 МПа, вместимость свыше 0,0001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включительно.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сосудов, предназначенных для газов и используемых для рабочих сред группы 2, приведены в </w:t>
      </w:r>
      <w:r>
        <w:fldChar w:fldCharType="begin"/>
      </w:r>
      <w:r>
        <w:instrText xml:space="preserve"> HYPERLINK "kodeks://link/d?nd=499031170&amp;point=mark=000000000000000000000000000000000000000000000000008Q40</w:instrText>
      </w:r>
      <w:r>
        <w:instrText>M4"\o"’’ТР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01.02.2014"</w:instrText>
      </w:r>
      <w:r>
        <w:fldChar w:fldCharType="separate"/>
      </w:r>
      <w:r>
        <w:rPr>
          <w:color w:val="0000AA"/>
          <w:u w:val="single"/>
        </w:rPr>
        <w:t>таблице 2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сосуды, предназначенные для жидкостей, используемые для рабочих сред группы 1 и имеющие: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рабочее давление свыше 0,05 МПа, вместимость более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произведение значения максимально допустимого рабочего давления на значение вместимости, составляющее свыше 0,02 МПа ·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рабочее давление свыше 50 МПа, вместимо</w:t>
      </w:r>
      <w:r>
        <w:t>сть свыше 0,0001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0,001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включительно.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сосудов, предназначенных для жидкостей и используемых для рабочих сред группы 1, приведены в </w:t>
      </w:r>
      <w:r>
        <w:fldChar w:fldCharType="begin"/>
      </w:r>
      <w:r>
        <w:instrText xml:space="preserve"> HYPERLINK "kodeks://link/d?nd=4990311</w:instrText>
      </w:r>
      <w:r>
        <w:instrText>70&amp;point=mark=000000000000000000000000000000000000000000000000008Q60M5"\o"’’ТР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</w:instrText>
      </w:r>
      <w:r>
        <w:instrText>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3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сосуды, предназначенные для жидкостей, используемые для рабочих сред группы 2 и имеющие: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р</w:t>
      </w:r>
      <w:r>
        <w:t>абочее давление свыше 1 МПа, вместимость более 0,01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произведение значения максимально допустимого рабочего давления на значение вместимости, составляющее свыше 1 МПа ·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</w:t>
      </w:r>
      <w:r>
        <w:t>ьно допустимое рабочее давление свыше 100 МПа, вместимость свыше 0,0001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 0,01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включительно.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Категории сосудов, предназначенных для жидкостей и используемых для рабочих сред груп</w:t>
      </w:r>
      <w:r>
        <w:t xml:space="preserve">пы 2, приведены в </w:t>
      </w:r>
      <w:r>
        <w:fldChar w:fldCharType="begin"/>
      </w:r>
      <w:r>
        <w:instrText xml:space="preserve"> HYPERLINK "kodeks://link/d?nd=499031170&amp;point=mark=000000000000000000000000000000000000000000000000008Q80M6"\o"’’ТР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</w:instrText>
      </w:r>
      <w:r>
        <w:instrText>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4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котлы, имеющие вместимость более 0,002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паровых, водогрейных котлов и сосудов с огневым обогревом приведены в </w:t>
      </w:r>
      <w:r>
        <w:fldChar w:fldCharType="begin"/>
      </w:r>
      <w:r>
        <w:instrText xml:space="preserve"> HYPERLINK "kodeks://link/d?nd=499031170&amp;point=mark=000000000000000000000000000000000000000000000000008QA0M7"\o"’’ТР ТС 032/2013 Технический регламент Таможенного союза ’’О б</w:instrText>
      </w:r>
      <w:r>
        <w:instrText>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5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Категории трубопроводов, предназначенных для газов и паров и и</w:t>
      </w:r>
      <w:r>
        <w:t xml:space="preserve">спользуемых для рабочих сред группы 1, приведены в </w:t>
      </w:r>
      <w:r>
        <w:fldChar w:fldCharType="begin"/>
      </w:r>
      <w:r>
        <w:instrText xml:space="preserve"> HYPERLINK "kodeks://link/d?nd=499031170&amp;point=mark=000000000000000000000000000000000000000000000000008OQ0LM"\o"’’ТР ТС 032/2013 Технический регламент Таможенного союза ’’О безопасности оборудования, работ</w:instrText>
      </w:r>
      <w:r>
        <w:instrText>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6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трубопроводы, имеющие мак</w:t>
      </w:r>
      <w:r>
        <w:t>симально допустимое рабочее давление свыше 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мм, предназначенные для газов и паров и и</w:t>
      </w:r>
      <w:r>
        <w:t>спользуемые для рабочих сред группы 2.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трубопроводов, предназначенных для газов и паров и используемых для рабочих сред группы 2, приведены в </w:t>
      </w:r>
      <w:r>
        <w:fldChar w:fldCharType="begin"/>
      </w:r>
      <w:r>
        <w:instrText xml:space="preserve"> HYPERLINK "kodeks://link/d?nd=499031170&amp;point=mark=000000000000000000000000000000000000000000000000008</w:instrText>
      </w:r>
      <w:r>
        <w:instrText>OU0LN"\o"’’ТР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</w:instrText>
      </w:r>
      <w:r>
        <w:instrText>.2014"</w:instrText>
      </w:r>
      <w:r>
        <w:fldChar w:fldCharType="separate"/>
      </w:r>
      <w:r>
        <w:rPr>
          <w:color w:val="0000AA"/>
          <w:u w:val="single"/>
        </w:rPr>
        <w:t>таблице 7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з) 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</w:t>
      </w:r>
      <w:r>
        <w:t xml:space="preserve">значение номинального диаметра, составляющее свыше 200 МПа · мм, предназначенные </w:t>
      </w:r>
      <w:r>
        <w:lastRenderedPageBreak/>
        <w:t>для жидкостей и используемые для рабочих сред группы 1.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Категории трубопроводов, предназначенных для жидкостей и используемых для рабочих сред группы 1, приведены в </w:t>
      </w:r>
      <w:r>
        <w:fldChar w:fldCharType="begin"/>
      </w:r>
      <w:r>
        <w:instrText xml:space="preserve"> HYPERLIN</w:instrText>
      </w:r>
      <w:r>
        <w:instrText>K "kodeks://link/d?nd=499031170&amp;point=mark=000000000000000000000000000000000000000000000000008P20LO"\o"’’ТР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</w:instrText>
      </w:r>
      <w:r>
        <w:instrText>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8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трубопроводы, имеющие максимально допустимое рабочее давление свыше 1 МПа, номинальны</w:t>
      </w:r>
      <w:r>
        <w:t>й диаметр более 200 мм и произведение значения максимально допустимого рабочего давления на значение номинального диаметра свыше 500 МПа · мм, предназначенные для жидкостей и используемые для рабочих сред группы 2.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Категории трубопроводов, предназначенных</w:t>
      </w:r>
      <w:r>
        <w:t xml:space="preserve"> для жидкостей и используемых для рабочих сред группы 2, приведены в </w:t>
      </w:r>
      <w:r>
        <w:fldChar w:fldCharType="begin"/>
      </w:r>
      <w:r>
        <w:instrText xml:space="preserve"> HYPERLINK "kodeks://link/d?nd=499031170&amp;point=mark=000000000000000000000000000000000000000000000000008P60LP"\o"’’ТР ТС 032/2013 Технический регламент Таможенного союза ’’О безопасности о</w:instrText>
      </w:r>
      <w:r>
        <w:instrText>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таблице 9 приложения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к) элемент</w:t>
      </w:r>
      <w:r>
        <w:t>ы оборудования (сборочные единицы) и комплектующие к нему, выдерживающие воздействие давления;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л) арматура, имеющая номинальный диаметр более 25 мм (для оборудования с рабочей средой группы 1), арматура, имеющая номинальный диаметр более 32 мм (для оборуд</w:t>
      </w:r>
      <w:r>
        <w:t>ования, используемого для газов с рабочей средой группы 2), арматура, имеющая номинальный диаметр более 200 мм (для трубопроводов, предназначенных для жидкостей и используемых для рабочих сред группы 2);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м) показывающие и предохранительные устройства;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н)</w:t>
      </w:r>
      <w:r>
        <w:t xml:space="preserve"> барокамеры (кроме одноместных медицинских);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о) устройства и приборы безопасности.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3. Настоящий технический регламент не распространяется на следующую продукцию: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а) магистральные трубопроводы, внутрипромысловые и местные распределительные трубопроводы, </w:t>
      </w:r>
      <w:r>
        <w:t>предназначенные для транспортирования газа, нефти и других продуктов, за исключением оборудования, используемого на станциях регулирования давления или на компрессорных станциях;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сети газораспределения и сети газопотребления;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оборудование, специаль</w:t>
      </w:r>
      <w:r>
        <w:t>но сконструированное для использования в области атомной энергетики, оборудование, работающее с радиоактивной средой;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сосуды, работающие под давлением, создающимся при взрыве внутри них в соответствии с технологическим процессом или при горении в режим</w:t>
      </w:r>
      <w:r>
        <w:t>е самораспространяющегося высокотемпературного синтеза;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оборудование, специально сконструированное для использования на морских и речных судах и других плавучих средствах и объектах подводного применения;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тормозное оборудование подвижного состава ж</w:t>
      </w:r>
      <w:r>
        <w:t>елезнодорожного транспорта, автотранспорта и иных средств передвижения;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сосуды, специально сконструированные для использования на самолетах и иных летательных аппаратах;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оборудование оборонного назначения;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части машин, не представляющие собой с</w:t>
      </w:r>
      <w:r>
        <w:t>амостоятельные сосуды (корпуса насосов или турбин, цилиндры двигателей паровых, гидравлических, внутреннего сгорания, воздушных машин и компрессоров);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к) медицинские одноместные барокамеры;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л) оборудование с аэрозольными распылителями;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м) оболочки высок</w:t>
      </w:r>
      <w:r>
        <w:t>овольтного электрического оборудования (распределительных устройств, распределительных механизмов, трансформаторов и вращающихся электрических машин);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н) оболочки и кожуха элементов систем передачи электрической энергии (кабельной продукции электропитания</w:t>
      </w:r>
      <w:r>
        <w:t xml:space="preserve"> и кабелей связи), работающие под избыточным давлением;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о) оборудование, изготовленное (произведенное) из неметаллической гибкой (эластичной) оболочки;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п) глушители шума выхлопа или всасывания газов;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р) емкости или сифоны для газированных напитков.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</w:t>
      </w:r>
      <w:r>
        <w:rPr>
          <w:b/>
          <w:bCs/>
        </w:rPr>
        <w:t xml:space="preserve">I. Основные понятия </w:t>
      </w:r>
    </w:p>
    <w:p w:rsidR="00000000" w:rsidRDefault="00A749A3">
      <w:pPr>
        <w:pStyle w:val="FORMATTEXT"/>
        <w:ind w:firstLine="568"/>
        <w:jc w:val="both"/>
      </w:pPr>
      <w:r>
        <w:t>4. Для целей настоящего технического регламента используемые понятия означают следующее: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"баллон" - сосуд, имеющий 1 или 2 горловины для установки вентилей, фланцев или штуцеров, предназначенный для транспортировки, хранения и использ</w:t>
      </w:r>
      <w:r>
        <w:t>ования сжатых, сжиженных или растворенных под давлением газов;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"барокамера" - сосуд, в котором создается пониженное и (или) повышенное давление, который оснащен приборами и оборудованием и в котором возможно размещение людей;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"бочка" - сосуд цилиндрическ</w:t>
      </w:r>
      <w:r>
        <w:t>ой или другой формы, который возможно перекатывать с одного места на другое и ставить на торцы без дополнительных опор и который предназначен для транспортировки и хранения жидких и других веществ;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"ввод в эксплуатацию" - документально оформленное событие</w:t>
      </w:r>
      <w:r>
        <w:t>, фиксирующее готовность оборудования к применению (использованию);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"вместимость" - объем внутренней полости оборудования, определяемый по заданным на чертежах номинальным размерам;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"группа рабочих сред" - совокупность рабочих сред, подразделенных на: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</w:t>
      </w:r>
      <w:r>
        <w:t>руппу 1, включающую рабочие среды, состоящие из воспламеняющихся, окисляющихся, горючих, взрывчатых, токсичных и высокотоксичных газов, жидкостей и паров в однофазном состоянии, а также их смесей;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группу 2, включающую все прочие рабочие среды, которые не </w:t>
      </w:r>
      <w:r>
        <w:t>отнесены к группе 1;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внутреннее", "давление наружное" - избыточное давление, действующее на внутренние или наружные поверхности стенки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пробное" - избыточное давление, при котором производится испытание оборудования на пр</w:t>
      </w:r>
      <w:r>
        <w:t>очность и плотность;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рабочее" - максимальное избыточное давление, возникающее при нормальном протекании рабочего процесса;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разрешенное" - максимально допустимое избыточное давление для оборудования (элемента), установленное на основан</w:t>
      </w:r>
      <w:r>
        <w:t>ии оценки соответствия и (или) контрольного расчета на прочность;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расчетное" - давление, на которое производится расчет на прочность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"давление условное" - расчетное давление при температуре 20°С, используемое при расчете на прочно</w:t>
      </w:r>
      <w:r>
        <w:t>сть стандартных сосудов (узлов, деталей, арматуры);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"диаметр номинальный", "условный проход" - числовое обозначение размера, равное округленному значению внутреннего диаметра, которое указывается для всех компонентов оборудования, кроме компонентов, указа</w:t>
      </w:r>
      <w:r>
        <w:t xml:space="preserve">нных по наружному диаметру или по размеру резьбы. Номинальный диаметр и условный проход указываются в миллиметрах без обозначения </w:t>
      </w:r>
      <w:r>
        <w:lastRenderedPageBreak/>
        <w:t>размерности;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"идентификация оборудования" - процедура отнесения оборудования к области применения настоящего технического рег</w:t>
      </w:r>
      <w:r>
        <w:t>ламента и установления соответствия оборудования прилагаемой технической документации;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"изготовитель" - юридическое лицо или физическое лицо, зарегистрированное в качестве индивидуального предпринимателя, которые осуществляют от своего имени производство </w:t>
      </w:r>
      <w:r>
        <w:t>или производство и реализацию оборудования и отвечают за его соответствие требованиям безопасности настоящего технического регламента;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"котел-утилизатор" - устройство, в котором в качестве источника тепла используются горючие газы или другие технологическ</w:t>
      </w:r>
      <w:r>
        <w:t>ие потоки;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 энерготехнологический" - паровой или водогрейный котел (в том числе содорегенерационный), в топке которого осуществляется переработка технологических материалов;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 электродный" - паровой или водогрейный котел, в котором используетс</w:t>
      </w:r>
      <w:r>
        <w:t>я тепло, выделяемое при протекании электрического тока через воду;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 с электрообогревом" - паровой или водогрейный котел, в котором используется тепло, выделяемое электронагревательными элементами;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 водогрейный" - устройство, предназначенное д</w:t>
      </w:r>
      <w:r>
        <w:t>ля нагрева воды, находящейся под давлением выше атмосферного и используемой в качестве теплоносителя вне этого устройства;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"котел паровой" - устройство, предназначенное для выработки пара с давлением выше атмосферного, используемого вне этого устройства;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"обоснование безопасности" 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оборудование на всех стадиях жиз</w:t>
      </w:r>
      <w:r>
        <w:t>ненного цикла и дополняемый сведениями о результатах оценки рисков на стадии эксплуатации после проведения капитального ремонта;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"предельное состояние оборудования" - состояние оборудования, при котором его дальнейшая эксплуатация недопустима;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"применени</w:t>
      </w:r>
      <w:r>
        <w:t>е по назначению" - использование оборудования в соответствии с его назначением и техническими характеристиками, указанными в технической документации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"производство серийное" - тип производства, характеризующийся изготовлением однородной прод</w:t>
      </w:r>
      <w:r>
        <w:t xml:space="preserve">укции по типовым конструкторским решениям и (или) применением типовых технологических процессов, связанных с неизменяющимися типами оборудования, в том числе на операциях сборки, для изготовления (производства) постоянно повторяющихся деталей оборудования </w:t>
      </w:r>
      <w:r>
        <w:t>независимо от типов их дальнейшей сборки;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"ремонт оборудования" - восстановление поврежденных, изношенных или пришедших в негодность по любой причине элементов сосудов с доведением их до работоспособного состояния;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"ресурс назначенный" - суммарная нарабо</w:t>
      </w:r>
      <w:r>
        <w:t>тка, при достижении которой эксплуатация оборудования должна быть прекращена независимо от его технического состояния;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"сосуд" - герметически закрытая емкость (стационарно установленная или передвижная), предназначенная для ведения химических, тепловых и </w:t>
      </w:r>
      <w:r>
        <w:t>других технологических процессов, а также для хранения и транспортировки газообразных, жидких и других веществ;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"срок службы назначенный" - календарная продолжительность эксплуатации оборудования, при достижении которой эксплуатация должна быть прекращена</w:t>
      </w:r>
      <w:r>
        <w:t xml:space="preserve"> независимо от его технического состояния;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"срок службы расчетный" - срок службы в календарных годах, установленный при проектировании и исчисляемый со дня ввода в эксплуатацию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"температура рабочей среды" - минимальная (максимальная) темпер</w:t>
      </w:r>
      <w:r>
        <w:t>атура среды при нормальном протекании технологического процесса;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"температура стенки расчетная" - температура, при которой определяются физико-механические характеристики, допускаемое напряжение материала и проводится расчет на прочность элементов оборудо</w:t>
      </w:r>
      <w:r>
        <w:t>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"температура стенки допустимая" - максимальная (минимальная) температура стенки, при которой допускается эксплуатация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"уполномоченное изготовителем лицо" - зарегистрированные в соответствии с законодательством государства - члена Там</w:t>
      </w:r>
      <w:r>
        <w:t>оженного союза и Единого экономического пространства на его территории юридическое лицо или физическое лицо в качестве индивидуального предпринимателя, выполняющие функции иностранного изготовителя на основании договора с ним в части обеспечения соответств</w:t>
      </w:r>
      <w:r>
        <w:t>ия оборудования требованиям настоящего технического регламента и в части ответственности за несоответствие оборудования требованиям настоящего технического регламента;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"устройства предохранительные" - устройства, предназначенные для защиты сосудов, котлов</w:t>
      </w:r>
      <w:r>
        <w:t>, трубопроводов от разрушения при превышении допустимых значений величины давления или температуры;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"цикл жизненный" - временной период с момента выпуска оборудования изготовителем до его утилизации;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"цистерна" - передвижной сосуд, постоянно установленны</w:t>
      </w:r>
      <w:r>
        <w:t>й на раме железнодорожной платформы, на шасси автомобиля (прицепа), в том числе автоцистерны, или на других средствах передвижения, предназначенный для транспортировки и хранения газообразных, жидких и других веществ;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"эксплуатация оборудования" - стадия </w:t>
      </w:r>
      <w:r>
        <w:t>жизненного цикла с момента ввода в эксплуатацию оборудования до его утилизации;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"элемент оборудования" - сборочная единица оборудования, предназначенная для выполнения одной из его основных функций.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Правила обращения на рынке </w:t>
      </w:r>
    </w:p>
    <w:p w:rsidR="00000000" w:rsidRDefault="00A749A3">
      <w:pPr>
        <w:pStyle w:val="FORMATTEXT"/>
        <w:ind w:firstLine="568"/>
        <w:jc w:val="both"/>
      </w:pPr>
      <w:r>
        <w:t>5. Оборудование выпу</w:t>
      </w:r>
      <w:r>
        <w:t>скается в обращение на рынке при его соответствии настоящему техническому регламенту и другим техническим регламентам Таможенного союза, действие которых распространяется на данное оборудование, и при условии, что оно прошло оценку (подтверждение) соответс</w:t>
      </w:r>
      <w:r>
        <w:t xml:space="preserve">твия согласно </w:t>
      </w:r>
      <w:r>
        <w:fldChar w:fldCharType="begin"/>
      </w:r>
      <w:r>
        <w:instrText xml:space="preserve"> HYPERLINK "kodeks://link/d?nd=499031170&amp;point=mark=000000000000000000000000000000000000000000000000008PK0M2"\o"’’ТР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</w:instrText>
      </w:r>
      <w:r>
        <w:instrText>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разделу VI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другим техническим регламентам Таможенного союза, действие которых на него распро</w:t>
      </w:r>
      <w:r>
        <w:t>страняется.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6. Оборудование, соответствие которого требованиям настоящего технического регламента не подтверждено, не подлежит маркировке единым знаком обращения продукции на рынке государств - членов Таможенного союза и не допускается к выпуску в обращен</w:t>
      </w:r>
      <w:r>
        <w:t>ие.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Обеспечение безопасности оборудования при разработке (проектировании), изготовлении (производстве) </w:t>
      </w:r>
    </w:p>
    <w:p w:rsidR="00000000" w:rsidRDefault="00A749A3">
      <w:pPr>
        <w:pStyle w:val="FORMATTEXT"/>
        <w:ind w:firstLine="568"/>
        <w:jc w:val="both"/>
      </w:pPr>
      <w:r>
        <w:t>7. Оборудование должно разрабатываться (проектироваться) и изготавливаться (производиться) таким образом, чтобы при применении по назначению, экс</w:t>
      </w:r>
      <w:r>
        <w:t>плуатации и техническом обслуживании обеспечивалось его соответствие требованиям безопасности.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8. С целью определения рисков для оборудования должны учитываться факторы, представляющие собой следующие основные виды опасности: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наличие незащищенных подв</w:t>
      </w:r>
      <w:r>
        <w:t>ижных элементов;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вибрация;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наличие взрывопожароопасных элементов;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г) недопустимые отклонения параметров конструкции, сборочных единиц и устройств безопасности, влияющие на безопасность;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пожар, чрезвычайные ситуации природного и техногенного ха</w:t>
      </w:r>
      <w:r>
        <w:t>рактера;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перегрев;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превышение давления (рабочее давление не превышает разрешенное);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повреждения, связанные с отложением примесей рабочей среды на внутренних поверхностях элементов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коррозия или иные виды износа поверхности элем</w:t>
      </w:r>
      <w:r>
        <w:t>ентов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к) неисправность предохранительных устройств и систем безопасности;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л) прекращение действия вспомогательного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м) погасание факелов в топке при камерном сжигании топлива;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н) исчезновение напряжения на всех контрольно-изм</w:t>
      </w:r>
      <w:r>
        <w:t>ерительных приборах, устройствах дистанционного и автоматического управления;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о) снижение уровня жидкой рабочей среды ниже минимально допустимого уровня;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п) повышение уровня рабочей среды выше максимально допустимого уровня;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р) снижение расхода теплонос</w:t>
      </w:r>
      <w:r>
        <w:t>ителя через котел ниже минимально допустимого значения;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с) снижение давления теплоносителя в тракте котла ниже минимально допустимого уровня значения;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т) повышение температуры теплоносителя на выходе из оборудования до предельного значения, указанного из</w:t>
      </w:r>
      <w:r>
        <w:t>готовителем;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у) выход из строя указателей уровня рабочей среды прямого действия.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9. Для идентифицированных видов опасности при проектировании проводится оценка риска расчетным, экспериментальным, экспертным путем или по данным эксплуатации аналогичных ви</w:t>
      </w:r>
      <w:r>
        <w:t>дов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10. Оборудование в зависимости от вместимости или номинального диаметра, а также максимально допустимого рабочего давления классифицируется по категориям (1-я, 2-я, 3-я и 4-я) в соответствии с </w:t>
      </w:r>
      <w:r>
        <w:fldChar w:fldCharType="begin"/>
      </w:r>
      <w:r>
        <w:instrText xml:space="preserve"> HYPERLINK "kodeks://link/d?nd=499031170&amp;poi</w:instrText>
      </w:r>
      <w:r>
        <w:instrText>nt=mark=000000000000000000000000000000000000000000000000008PQ0LV"\o"’’ТР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</w:instrText>
      </w:r>
      <w:r>
        <w:instrText>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приложением N 1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11. Безопасность оборудования обеспечивается путем соблюдения при разработке (проектировании), изготовлении (производстве) требовани</w:t>
      </w:r>
      <w:r>
        <w:t xml:space="preserve">й безопасности, изложенных в настоящем разделе и </w:t>
      </w:r>
      <w:r>
        <w:fldChar w:fldCharType="begin"/>
      </w:r>
      <w:r>
        <w:instrText xml:space="preserve"> HYPERLINK "kodeks://link/d?nd=499031170&amp;point=mark=000000000000000000000000000000000000000000000000008PA0LQ"\o"’’ТР ТС 032/2013 Технический регламент Таможенного союза ’’О безопасности оборудования, работаю</w:instrText>
      </w:r>
      <w:r>
        <w:instrText>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приложении N 2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12. При изготовлении (производстве) обор</w:t>
      </w:r>
      <w:r>
        <w:t>удования и устройств безопасности изготовителем обеспечивается их соответствие параметрам и характеристикам, установленным проектной документацией, и требованиям настоящего технического регламента.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13. Изготовитель проводит испытания оборудования, предусм</w:t>
      </w:r>
      <w:r>
        <w:t>отренные проектной документацией.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14. Отклонения от проектной документации при изготовлении (производстве) оборудования согласовываются с разработчиком (проектировщиком).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15. Оборудование должно быть безопасным в течение всего срока службы при выполнении</w:t>
      </w:r>
      <w:r>
        <w:t xml:space="preserve"> потребителем мер по обеспечению его безопасности, установленных в технической документации.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16. Техническая документация, прилагаемая к оборудованию, включает в себя: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а) паспорт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копию обоснования безопасности;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чертеж общего вида;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паспорта предохранительных устройств (при их наличии в соответствии с проектной документацией);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расчет пропускной способности предохранительных устройств (при их наличии в соответствии с проектной документацией);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расчет на прочность оборудования</w:t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руководство (инструкция) по эксплуатации;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чертежи, схемы, расчеты и другая документация в соответствии с договором поставки (контракта).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17. Паспорт оборудования является основным документом для идентификации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Наличие паспорта обор</w:t>
      </w:r>
      <w:r>
        <w:t>удования обязательно для обращения оборудования на таможенной территории Таможенного союза на всех стадиях жизненного цикла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Паспорт оборудования оформляется изготовителем.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 паспорте оборудования проставляется печать изготовителя и указыва</w:t>
      </w:r>
      <w:r>
        <w:t>ется дата его оформления.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18. В зависимости от вида оборудования паспорт оборудования должен содержать информацию в соответствии с </w:t>
      </w:r>
      <w:r>
        <w:fldChar w:fldCharType="begin"/>
      </w:r>
      <w:r>
        <w:instrText xml:space="preserve"> HYPERLINK "kodeks://link/d?nd=499031170&amp;point=mark=000000000000000000000000000000000000000000000000007EC0KG"\o"’’ТР ТС 032/</w:instrText>
      </w:r>
      <w:r>
        <w:instrText>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пунктами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"kodeks://link/d?nd=499031170&amp;point=mark=000000000000000000000000000000000000000000000000008OU0LQ"\o"’’ТР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</w:instrText>
      </w:r>
      <w:r>
        <w:instrText>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23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19. Паспорт трубопровода включает в себя следующую информацию: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наименование и адрес предприятия-вл</w:t>
      </w:r>
      <w:r>
        <w:t>адельца;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назначение;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дата изготовления (производства);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рабочая среда;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рабочие параметры рабочей среды: давление,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температура,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расчетный срок службы;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расчетный ресурс;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расчетное количество пусков;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схемы, чертежи, свидетельства и другие документы на изготовление (производство) и монтаж трубопровода.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20. Паспорт</w:t>
      </w:r>
      <w:r>
        <w:t xml:space="preserve"> котла включает в себя следующую информацию (объем сведений формирует изготовитель в зависимости от типа котла):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общие сведения: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 и адрес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дата изготовления (производства);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тип (модель);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наименование и назначение;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заводско</w:t>
      </w:r>
      <w:r>
        <w:t>й номер;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расчетный срок службы;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расчетный ресурс котла и основных частей;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расчетное количество пусков;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геометрические размеры котла и его элементов;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технические характеристики и параметры: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расчетный вид топлива и его теплота сгорания, МДж/кг (ккал</w:t>
      </w:r>
      <w:r>
        <w:t>/кг);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расход топлива,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 (т/ч);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тип и характеристика топочной установки (горелок);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расчетное, рабочее, пробное давление,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 допустимое гидравлическое сопроти</w:t>
      </w:r>
      <w:r>
        <w:t>вление котла при номинальной производительности,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минимально допустимое давление при номинальной температуре,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номинальная температура пара на выходе из котла</w:t>
      </w:r>
      <w:r>
        <w:t>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расчетная температура перегретого пара (жидкости),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номинальная температура жидкости на входе в котел,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номинальная и максимальная температура жидкости на выходе из котла,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номинальная, минимально и максимально допустимая паропроизводите</w:t>
      </w:r>
      <w:r>
        <w:t>льность, т/ч;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номинальная, минимальная и максимальная теплопроизводительность, кВт;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поверхность нагрева котла и основных частей,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вместимость,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минимально и максимально допустимы</w:t>
      </w:r>
      <w:r>
        <w:t>й расход жидкости,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сведения о предохранительных устройствах (в том числе тип, количество, место установки, площадь сечения, номинальный диаметр, коэффициент расхода пара или жидкости, величина (диапазон) начала о</w:t>
      </w:r>
      <w:r>
        <w:t>ткрытия);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сведения об указателях уровня жидкости (воды) (в том числе тип указателя, количество, место установки);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сведения об основной арматуре (в том числе количество, номинальный диаметр, условное давление, рабочие параметры, материал корпуса, ме</w:t>
      </w:r>
      <w:r>
        <w:t>сто установки);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сведения об основной аппаратуре для измерения, управления, сигнализации, регулирования и автоматической защиты (в том числе количество, тип (марка));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сведения о насосах (в том числе тип, количество, рабочие параметры, тип привода);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з) сведения об основных элементах котла, изготовленных (произведенных) из листовой стали (в </w:t>
      </w:r>
      <w:r>
        <w:lastRenderedPageBreak/>
        <w:t>том числе количество, размеры, материал, сварка и термообработка);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и) сведения об элементах котла, изготовленных (произведенных) из труб (в том числе количество, </w:t>
      </w:r>
      <w:r>
        <w:t>размеры, материал, сварка и термообработка);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к) сведения о штуцерах, крышках, днищах, переходах, фланцах (в том числе количество, размеры, материал);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л) сведения о теплоносителе (в том числе наименование, максимально допустимая температура применения, те</w:t>
      </w:r>
      <w:r>
        <w:t>мпература самовоспламенения в открытом пространстве, температура затвердевания, температура кипения, изменение (кривая) температуры кипения в зависимости от давления, другие данные, влияющие на безопасную эксплуатацию);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м) рисунки, схемы, чертежи котла и </w:t>
      </w:r>
      <w:r>
        <w:t>основных его элементов и другие документы (сводный лист заводских изменений, комплектовочная ведомость, спецификация с указанием основных размеров сборочных единиц и т.п.);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н) иные сведения, обеспечивающие безопасность эксплуатации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21. Паспорт сос</w:t>
      </w:r>
      <w:r>
        <w:t>уда включает в себя следующую информацию: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общие сведения: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 и адрес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дата изготовления (производства);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заводской номер;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расчетный срок службы;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сведения о технических характеристиках и параметрах: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рабочее, расчетное, про</w:t>
      </w:r>
      <w:r>
        <w:t>бное давление,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рабочая температура рабочей среды,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расчетная температура стенки,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минимально допустимая отрицательная температура стенки,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группа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</w:t>
      </w:r>
      <w:r>
        <w:t>бавка для компенсации коррозии (эрозии), мм;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вместимость,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масса пустого сосуда, кг;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максимальная масса заливаемой среды, кг;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сведения об основных частях (в том числе количество, размеры, материал, сварка (пайка)</w:t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сведения о штуцерах, фланцах, крышках, крепежных изделиях (в том числе количество, размеры, материал);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сведения о предохранительных устройствах, основной арматуре, контрольно-измерительных приборах, приборах безопасности (в том числе количество,</w:t>
      </w:r>
      <w:r>
        <w:t xml:space="preserve"> номинальный диаметр, расчетное давление, материал корпуса, место установки);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е) рисунки, схемы, чертежи сосуда и другие документы (сводный лист заводских изменений, </w:t>
      </w:r>
      <w:r>
        <w:lastRenderedPageBreak/>
        <w:t xml:space="preserve">комплектовочная ведомость, спецификация с указанием основных размеров сборочных единиц и </w:t>
      </w:r>
      <w:r>
        <w:t>т.п.);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иные сведения, обеспечивающие безопасность эксплуатации сосуда.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22. Паспорт баллона включает в себя следующую информацию: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общие сведения: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 и адрес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дата изготовления (производства);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обозначение баллона;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среда, д</w:t>
      </w:r>
      <w:r>
        <w:t>ля которой предназначен баллон;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заводской номер;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сведения о технических характеристиках и параметрах: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рабочее давление,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пробное давление,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основные ра</w:t>
      </w:r>
      <w:r>
        <w:t>змеры баллона, чертеж баллона;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вместимость, л;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масса, кг;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резьба на горловинах;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уплотнение горловин;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температурный диапазон эксплуатации,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максимальное количество заправок;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расчетный срок службы с даты изготовления (производства), лет;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требов</w:t>
      </w:r>
      <w:r>
        <w:t>ания к транспортированию и хранению баллона;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требования к установке баллона;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требования к эксплуатации баллона;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иные сведения, обеспечивающие безопасность эксплуатации баллона.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23. Паспорт арматуры включает в себя следующую информацию: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общ</w:t>
      </w:r>
      <w:r>
        <w:t>ие сведения: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 и адрес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дата изготовления (производства);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наименование, обозначение и идентификационный (заводской) номер;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назначение арматуры;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сведения о подтверждении соответствия;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б) сведения о технических параметрах: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диам</w:t>
      </w:r>
      <w:r>
        <w:t>етр номинальный (DN);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давление номинальное (PN) или давление рабочее (Рр), МПа (кгс/см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рабочая среда;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температура рабочей среды, 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герметичность затвора;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климатическое исполнение и параметры окружающей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</w:t>
      </w:r>
      <w:r>
        <w:t>ип присоединения к трубопроводу;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гидравлические характеристики (коэффициент сопротивления, или условная пропускная способность, или коэффициент расхода);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стойкость к внешним воздействиям (в случае если необходимо указать данную информацию);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масса, кг;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показатели надежности;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показатели безопасности;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вид привода и основные его технические характеристики;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сведения о материалах основных деталей;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иные сведения, обеспечивающие безопасность эксплуатации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24. Изготовитель вправе дополнить сведе</w:t>
      </w:r>
      <w:r>
        <w:t xml:space="preserve">ния, указанные в </w:t>
      </w:r>
      <w:r>
        <w:fldChar w:fldCharType="begin"/>
      </w:r>
      <w:r>
        <w:instrText xml:space="preserve"> HYPERLINK "kodeks://link/d?nd=499031170&amp;point=mark=000000000000000000000000000000000000000000000000007EC0KG"\o"’’ТР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</w:instrText>
      </w:r>
      <w:r>
        <w:instrText>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пунктах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"kodeks://link/d?nd=499031170&amp;point=mark=000000000000000000000000000000000000000000000000008OU0LQ"\o"’’Т</w:instrText>
      </w:r>
      <w:r>
        <w:instrText>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23 нас</w:t>
      </w:r>
      <w:r>
        <w:rPr>
          <w:color w:val="0000AA"/>
          <w:u w:val="single"/>
        </w:rPr>
        <w:t>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информацией, отражающей конструктивные особенности конкретного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25. Обоснование безопасности оборудования готовится на этапе разработки (проектирования)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 обосновании безопасности приводятся</w:t>
      </w:r>
      <w:r>
        <w:t xml:space="preserve"> анализ рисков для оборудования, а также минимально необходимые меры по обеспечению безопасности.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Оригинал обоснования безопасности оборудования хранится у разработчика (проектировщика), а копия - у изготовителя оборудования и организации, эксплуатирующей</w:t>
      </w:r>
      <w:r>
        <w:t xml:space="preserve"> оборудование.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26. Изготовитель оборудования должен обеспечивать оборудование руководством (инструкцией) по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Руководство (инструкция) по эксплуатации готовится на этапе разработки (проектирования)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27. Руководство (инструкция) </w:t>
      </w:r>
      <w:r>
        <w:t>по эксплуатации включает в себя: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сведения о конструкции, принципе действия, характеристиках (свойствах)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указания по монтажу или сборке, наладке или регулировке, техническому обслуживанию и ремонту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указания по использ</w:t>
      </w:r>
      <w:r>
        <w:t>ованию оборудования и меры по обеспечению безопасности, которые необходимо соблюдать при эксплуатации оборудования (включая ввод в эксплуатацию, применение по назначению, техническое обслуживание, все виды ремонта, периодическое диагностирование, испытания</w:t>
      </w:r>
      <w:r>
        <w:t>, транспортирование, упаковку, консервацию и условия хранения);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г) назначенные показатели (назначенный срок хранения, назначенный срок службы и (или) назначенный ресурс) в зависимости от конструктивных особенностей.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По истечении назначенных показателей (</w:t>
      </w:r>
      <w:r>
        <w:t>назначенного срока хранения, назначенного срока службы и (или) назначенного ресурса), указанных в руководстве (инструкции) по эксплуатации, прекращается эксплуатация оборудования и принимается решение о направлении его в ремонт, или об утилизации, или о пр</w:t>
      </w:r>
      <w:r>
        <w:t>оверке и об установлении новых назначенных показателей (назначенного ресурса, срока хранения, срока службы);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перечень критических отказов, возможные ошибочные действия персонала, которые приводят к инциденту или аварии;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е) действия персонала в случае </w:t>
      </w:r>
      <w:r>
        <w:t>инцидента, критического отказа или аварии;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критерии предельных состояний;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указания по выводу из эксплуатации и утилизации;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сведения о квалификации обслуживающего персонала;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к) наименование, местонахождение и контактную информацию изготовителя </w:t>
      </w:r>
      <w:r>
        <w:t>(уполномоченного изготовителем лица), импортера.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28. Руководство (инструкция) по эксплуатации составляется на русском языке и при наличии соответствующего требования в законодательстве государств - членов Таможенного союза и Единого экономического простра</w:t>
      </w:r>
      <w:r>
        <w:t>нства (далее - государства-члены) на государственных языках государств-членов.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Руководство (инструкция) по эксплуатации оформляется на бумажном носителе, при этом может прилагаться комплект эксплуатационных документов на электронном носителе. К комплекту </w:t>
      </w:r>
      <w:r>
        <w:t>оборудования небытового назначения по выбору изготовителя может прилагаться руководство (инструкция) по эксплуатации только на электронном носителе.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29. На оборудование наносится маркировка в виде четких и нестираемых надписей, содержащих следующую информ</w:t>
      </w:r>
      <w:r>
        <w:t>ацию: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наименование и (или) обозначение типа, марки, модели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параметры и характеристики, влияющие на безопасность;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наименование материала, из которого изготовлено (произведено) оборудование (элементы);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товарный знак изготовителя</w:t>
      </w:r>
      <w:r>
        <w:t xml:space="preserve"> (при наличии);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заводской номер;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дата изготовления (производства).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30. Место нанесения маркировки определяется проектной организацией и указывается в руководстве (инструкции) по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В случае если сведения, указанные в </w:t>
      </w:r>
      <w:r>
        <w:fldChar w:fldCharType="begin"/>
      </w:r>
      <w:r>
        <w:instrText xml:space="preserve"> HYPERLINK "kodeks://link/d?nd=499031170&amp;point=mark=000000000000000000000000000000000000000000000000008P60LS"\o"’’ТР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</w:instrText>
      </w:r>
      <w:r>
        <w:instrText>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29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невозможно нанести непосредственно на оборудование, они могут быть указаны только в прилагаемом к</w:t>
      </w:r>
      <w:r>
        <w:t xml:space="preserve"> этому оборудованию руководстве (инструкции) по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31. На оборудование, предназначенное для транспортировки сжиженных углеводородных газов (баллоны и автоцистерны), наносятся отличительная окраска и идентификационная информация в соответствии с</w:t>
      </w:r>
      <w:r>
        <w:t xml:space="preserve"> требованиями, предусмотренными </w:t>
      </w:r>
      <w:r>
        <w:fldChar w:fldCharType="begin"/>
      </w:r>
      <w:r>
        <w:instrText xml:space="preserve"> HYPERLINK "kodeks://link/d?nd=499031170&amp;point=mark=00000000000000000000000000000000000000000000000000A7G0NF"\o"’’ТР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</w:instrText>
      </w:r>
      <w:r>
        <w:instrText>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приложением N 3 к настоящему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При покрытии (обшивке) указанного оборудования коррозионн</w:t>
      </w:r>
      <w:r>
        <w:t>о-стойкими и теплоизоляционными материалами окраска по всей длине может не производиться.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32. Элементы и комплектующие оборудования маркируются в соответствии с договором на поставку (контрактом). Маркировка должна обеспечивать их идентификацию.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33. Техн</w:t>
      </w:r>
      <w:r>
        <w:t>ическая документация на оборудование хранится у изготовителя (уполномоченного изготовителем лица) в течение расчетного срока службы со дня снятия с производства этого оборудования или прекращения его производства.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34. Правила эксплуатации оборудования уст</w:t>
      </w:r>
      <w:r>
        <w:t>анавливаются законодательством государств-членов.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Обеспечение соответствия требованиям безопасности </w:t>
      </w:r>
    </w:p>
    <w:p w:rsidR="00000000" w:rsidRDefault="00A749A3">
      <w:pPr>
        <w:pStyle w:val="FORMATTEXT"/>
        <w:ind w:firstLine="568"/>
        <w:jc w:val="both"/>
      </w:pPr>
      <w:r>
        <w:t>35. Соответствие оборудования требованиям настоящего технического регламента обеспечивается путем непосредственного выполнения этих требований либо п</w:t>
      </w:r>
      <w:r>
        <w:t>утем выполнения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36. Методы исследований (испытаний) и измерений оборуд</w:t>
      </w:r>
      <w:r>
        <w:t>ования устанавливаются стандартами, включенными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</w:t>
      </w:r>
      <w:r>
        <w:t>нта и осуществления оценки (подтверждения) соответствия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Оценка (подтверждение) соответствия оборудования </w:t>
      </w:r>
    </w:p>
    <w:p w:rsidR="00000000" w:rsidRDefault="00A749A3">
      <w:pPr>
        <w:pStyle w:val="FORMATTEXT"/>
        <w:ind w:firstLine="568"/>
        <w:jc w:val="both"/>
      </w:pPr>
      <w:r>
        <w:t>37. Оборудование, выпускаемое в обращение на таможенной территории Таможенного союза, подлежит оценке (подтверждению) соответстви</w:t>
      </w:r>
      <w:r>
        <w:t>я требованиям настоящего технического регламента.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38. Оценка (подтверждение) соответствия оборудования требованиям настоящего технического регламента проводится в форме государственного контроля (надзора) и в форме подтверждения соответствия.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>
        <w:rPr>
          <w:rFonts w:ascii="Arial" w:hAnsi="Arial" w:cs="Arial"/>
          <w:sz w:val="20"/>
          <w:szCs w:val="20"/>
        </w:rPr>
        <w:instrText>kodeks://link/d?nd=499031170&amp;point=mark=0000O9Q20EBBGO31LUVKU0AEIPT83VVVPR8000032I0000NM10000NC9"\o"’’ТР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(утв. решением Совета ЕЭК от 02.07.2013 N 41)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39. Государственный контроль (надзор) за соблюдением требований настоящего технического регламента проводится в соответствии с законодательством госуд</w:t>
      </w:r>
      <w:r>
        <w:t>арств-членов.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"kodeks://link/d?nd=499031170&amp;point=mark=0000O9R20EBBGO31LUVKU0AEIPT83VVVPR8000032I0000NM10000NC9"\o"’’ТР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(утв. решением Совет</w:instrText>
      </w:r>
      <w:r>
        <w:rPr>
          <w:rFonts w:ascii="Arial" w:hAnsi="Arial" w:cs="Arial"/>
          <w:sz w:val="20"/>
          <w:szCs w:val="20"/>
        </w:rPr>
        <w:instrText>а ЕЭК от 02.07.2013 N 41)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40. Подтверждение соответствия оборудования требованиям настоящего технического регламента (далее - подтверждение соответств</w:t>
      </w:r>
      <w:r>
        <w:t>ия) осуществляется путем: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сертификации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</w:t>
      </w:r>
      <w:r>
        <w:t>ции);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декларирования соответствия на основании собственных доказательств и (или) доказательств, полученных с участием органа по сертификации или аккредитованной испытательной лаборатории (центра), включенной в Единый реестр органов по сертификации и ис</w:t>
      </w:r>
      <w:r>
        <w:t>пытательных лабораторий (центров) Таможенного союза (далее - аккредитованная испытательная лаборатория).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41. Подтверждение соответствия осуществляется согласно схемам сертификации и декларирования, установленным настоящим техническим регламентом.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42. Дек</w:t>
      </w:r>
      <w:r>
        <w:t>ларирование соответствия оборудования требованиям настоящего технического регламента проводится заявителем в отношении оборудования 1-й и 2-й категорий, а также оборудования любой категории, доизготовление которого с применением неразъемных соединений осущ</w:t>
      </w:r>
      <w:r>
        <w:t>ествляется по месту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43. Сертификация проводится в отношении оборудования 3-й и 4-й категорий.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44. Единственным документом, подтверждающим соответствие оборудования требованиям настоящего технического регламента, является либо декларация о с</w:t>
      </w:r>
      <w:r>
        <w:t>оответствии, либо сертификат соответствия.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45. При проведении подтверждения соответствия заявитель формирует комплект документов на оборудование, который включает в себя: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обоснование безопасности;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паспорт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руководство (инструкцию</w:t>
      </w:r>
      <w:r>
        <w:t>) по эксплуатации;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проектную документацию;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результаты прочностных расчетов и расчетов пропускной способности предохранительных устройств (при их наличии в соответствии с проектом);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технологические регламенты и сведения о технологическом процесс</w:t>
      </w:r>
      <w:r>
        <w:t>е (данные о применяемых материалах, полуфабрикатах, комплектующих, сварочных материалах, о способах и параметрах режимов сварки и термической обработке, методах и результатах неразрушающего контроля);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сведения о проведенных испытаниях (измерениях);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</w:t>
      </w:r>
      <w:r>
        <w:t xml:space="preserve"> протоколы испытаний оборудования, проведенных изготовителем, уполномоченным изготовителем лицом и (или) аккредитованной испытательной лабораторией;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и) документ о подтверждении характеристик материалов и комплектующих изделий (при наличии);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к) сертификат</w:t>
      </w:r>
      <w:r>
        <w:t>ы соответствия, декларации о соответствии или протоколы испытаний в отношении материалов, комплектующих изделий (при наличии);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л) перечень стандартов, указанных в </w:t>
      </w:r>
      <w:r>
        <w:fldChar w:fldCharType="begin"/>
      </w:r>
      <w:r>
        <w:instrText xml:space="preserve"> HYPERLINK "kodeks://link/d?nd=499031170&amp;point=mark=0000000000000000000000000000000000000000</w:instrText>
      </w:r>
      <w:r>
        <w:instrText>00000000008PE0LV"\o"’’ТР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</w:instrText>
      </w:r>
      <w:r>
        <w:instrText>ует с 01.02.2014"</w:instrText>
      </w:r>
      <w:r>
        <w:fldChar w:fldCharType="separate"/>
      </w:r>
      <w:r>
        <w:rPr>
          <w:color w:val="0000AA"/>
          <w:u w:val="single"/>
        </w:rPr>
        <w:t>разделе V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которые были применены при изготовлении (производстве) оборудования (в случае их применения изготовителем);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м) документы, подтверждающие квалификацию специалистов и персонала изготовителя;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н) иные документы, прямо или косвенно подтверждающие соответствие оборудования требованиям настоящего технического регламента (при наличии).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46. Декларирование соответствия оборудования требованиям настоящего технического регламента осуществляется по сл</w:t>
      </w:r>
      <w:r>
        <w:t>едующим схемам: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а) схема 1д применяется в отношении серийно выпускаемого оборудования 1-й и 2-й категорий, при этом 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</w:instrText>
      </w:r>
      <w:r>
        <w:instrText>00000000000000008PA0LR"\o"’’ТР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 xml:space="preserve">Статус: </w:instrText>
      </w:r>
      <w:r>
        <w:instrText>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 производственный контроль и принимает меры для того, чтобы процесс производства обеспечивал соответствие оборудования требованиям настоящего технического регламента, пров</w:t>
      </w:r>
      <w:r>
        <w:t>одит испытания образцов в испытательной лаборатории или аккредитованной испытательной лаборатории, принимает и регистрирует декларацию о соответствии;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схема 2д применяется в отношении партии оборудования (единичного изделия) 1-й и 2-й категорий, при эт</w:t>
      </w:r>
      <w:r>
        <w:t xml:space="preserve">ом 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"kodeks://link/d?nd=499031170&amp;point=mark=000000000000000000000000000000000000000000000000008PA0LR"\o"’’ТР ТС 032/2013 Технический регламент Таможенного союза ’’О безопасности оборудования, </w:instrText>
      </w:r>
      <w:r>
        <w:instrText>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проводит испытания образцов в испытательн</w:t>
      </w:r>
      <w:r>
        <w:t>ой лаборатории или аккредитованной испытательной лаборатории, принимает и регистрирует декларацию о соответствии;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схема 3д применяется в отношении серийно выпускаемых элементов оборудования 1-й и 2-й категорий и комплектующих изделий оборудования 1-й и</w:t>
      </w:r>
      <w:r>
        <w:t xml:space="preserve"> 2-й категорий, при этом 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"kodeks://link/d?nd=499031170&amp;point=mark=000000000000000000000000000000000000000000000000008PA0LR"\o"’’ТР ТС 032/2013 Технический регламент Таможенного союза ’’О безоп</w:instrText>
      </w:r>
      <w:r>
        <w:instrText>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 произв</w:t>
      </w:r>
      <w:r>
        <w:t>одственный контроль и принимает меры для того, чтобы процесс производства обеспечивал соответствие элементов оборудования и комплектующих изделий требованиям настоящего технического регламента, проводит испытания образцов в аккредитованной испытательной ла</w:t>
      </w:r>
      <w:r>
        <w:t>боратории, принимает и регистрирует декларацию о соответствии;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схема 4д применяется в отношении партии элементов оборудования 1-й и 2-й категорий и комплектующих изделий оборудования 1-й и 2-й категорий, при этом заявитель формирует комплект документов</w:t>
      </w:r>
      <w:r>
        <w:t xml:space="preserve">, указанных в </w:t>
      </w:r>
      <w:r>
        <w:fldChar w:fldCharType="begin"/>
      </w:r>
      <w:r>
        <w:instrText xml:space="preserve"> HYPERLINK "kodeks://link/d?nd=499031170&amp;point=mark=000000000000000000000000000000000000000000000000008PA0LR"\o"’’ТР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</w:instrText>
      </w:r>
      <w:r>
        <w:instrText>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проводит испытания образцов в аккредитованной испытательной лаборатории, принимает </w:t>
      </w:r>
      <w:r>
        <w:t>и регистрирует декларацию о соответствии;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схема 5д применяется в отношении оборудования 1-й, 2-й, 3-й и 4-й категорий, доизготовление которого с использованием неразъемных соединений осуществляется по месту эксплуатации в следующих случаях: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невозможно</w:t>
      </w:r>
      <w:r>
        <w:t xml:space="preserve"> проведение испытаний в полном объеме до установки оборудования на месте его эксплуатации;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при разработке (проектировании) и изготовлении (производстве) оборудования не применялись стандарты, указанные в </w:t>
      </w:r>
      <w:r>
        <w:fldChar w:fldCharType="begin"/>
      </w:r>
      <w:r>
        <w:instrText xml:space="preserve"> HYPERLINK "kodeks://link/d?nd=499031170&amp;point=mark</w:instrText>
      </w:r>
      <w:r>
        <w:instrText>=000000000000000000000000000000000000000000000000008PI0M1"\o"’’ТР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</w:instrText>
      </w:r>
      <w:r>
        <w:instrText xml:space="preserve">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36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том числе для инновационного оборудования. При применении схемы 5д заявитель формирует комплект документов, указанных в </w:t>
      </w:r>
      <w:r>
        <w:fldChar w:fldCharType="begin"/>
      </w:r>
      <w:r>
        <w:instrText xml:space="preserve"> HYPERLINK "kodeks://link/</w:instrText>
      </w:r>
      <w:r>
        <w:instrText>d?nd=499031170&amp;point=mark=000000000000000000000000000000000000000000000000008PA0LR"\o"’’ТР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</w:instrText>
      </w:r>
      <w:r>
        <w:instrText>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 производственный контроль и принимает меры для того, чтобы процесс производства обеспечивал соответствие обору</w:t>
      </w:r>
      <w:r>
        <w:t>дования требованиям настоящего технического регламента, и направляет в орган по сертификации заявку на проведение исследования типа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орган по сертификации проводит исследование типа оборудования с учетом полученных от заявителя документов. В </w:t>
      </w:r>
      <w:r>
        <w:t xml:space="preserve">случае если заявитель не применял стандарты, указанные в </w:t>
      </w:r>
      <w:r>
        <w:fldChar w:fldCharType="begin"/>
      </w:r>
      <w:r>
        <w:instrText xml:space="preserve"> HYPERLINK "kodeks://link/d?nd=499031170&amp;point=mark=000000000000000000000000000000000000000000000000008PI0M1"\o"’’ТР ТС 032/2013 Технический регламент Таможенного союза ’’О безопасности оборудования,</w:instrText>
      </w:r>
      <w:r>
        <w:instrText xml:space="preserve">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36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орган по сертификации оценивает возможно</w:t>
      </w:r>
      <w:r>
        <w:t>сть замены требований этих стандартов заявленными требованиями. Исследование типа оборудования в зависимости от представленных заявителем документов проводится одним из следующих способов: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исследование образца как представителя всего производимого впослед</w:t>
      </w:r>
      <w:r>
        <w:t>ствии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изучение представленных документов, испытание образца или основных (критических) составных частей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оформление и выдача заявителю органом по сертификации при положительных результатах исследований типа оборудования сертифи</w:t>
      </w:r>
      <w:r>
        <w:t>ката на тип оборудования по единой форме, утверждаемой решением Евразийской экономической комиссии. Указанный сертификат является неотъемлемой частью декларации о соответствии. Содержащиеся в нем заявленные требования к оборудованию, признанные достаточным</w:t>
      </w:r>
      <w:r>
        <w:t xml:space="preserve"> доказательством соответствия оборудования требованиям настоящего технического регламента, используются при проверках соблюдения требований настоящего технического регламента, проводимых органами государственного контроля (надзора);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</w:instrText>
      </w:r>
      <w:r>
        <w:rPr>
          <w:rFonts w:ascii="Arial" w:hAnsi="Arial" w:cs="Arial"/>
          <w:sz w:val="20"/>
          <w:szCs w:val="20"/>
        </w:rPr>
        <w:instrText>nk/d?nd=499031170&amp;point=mark=0000OJI000002H000002I20EBBGO31LUVKU0AEIPT83VVVPR8000032I"\o"’’ТР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(утв. решением Совета ЕЭК от 02.07.2013 N 41)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Технический</w:instrText>
      </w:r>
      <w:r>
        <w:rPr>
          <w:rFonts w:ascii="Arial" w:hAnsi="Arial" w:cs="Arial"/>
          <w:sz w:val="20"/>
          <w:szCs w:val="20"/>
        </w:rPr>
        <w:instrText xml:space="preserve">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46.5.6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заявитель принимает декларацию о соответствии и осуществляет ее регистрацию в установленном порядке.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47. При декларировании соответствия по схемам 1д, 3д и </w:t>
      </w:r>
      <w:r>
        <w:t>5д заявителями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изготовителями либо уполномоченными изготовителе</w:t>
      </w:r>
      <w:r>
        <w:t>м лицами.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декларировании соответствия по схемам 2д и 4д заявителями могут быть зарегистрированные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</w:t>
      </w:r>
      <w:r>
        <w:t>вляющиеся изготовителями, продавцами либо уполномоченными изготовителем лицами.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48. В качестве доказательственных материалов, являющихся основанием для принятия декларации о соответствии на основании собственных доказательств, используются документы, указ</w:t>
      </w:r>
      <w:r>
        <w:t xml:space="preserve">анные в </w:t>
      </w:r>
      <w:r>
        <w:fldChar w:fldCharType="begin"/>
      </w:r>
      <w:r>
        <w:instrText xml:space="preserve"> HYPERLINK "kodeks://link/d?nd=499031170&amp;point=mark=000000000000000000000000000000000000000000000000008PA0LR"\o"’’ТР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 xml:space="preserve">(утв. решением Совета ЕЭК </w:instrText>
      </w:r>
      <w:r>
        <w:instrText>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стандарты, указанные в </w:t>
      </w:r>
      <w:r>
        <w:fldChar w:fldCharType="begin"/>
      </w:r>
      <w:r>
        <w:instrText xml:space="preserve"> HYPERLINK "kodeks://link/d?nd=499031170&amp;point=mark=000000</w:instrText>
      </w:r>
      <w:r>
        <w:instrText>000000000000000000000000000000000000000000008PE0LV"\o"’’ТР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</w:instrText>
      </w:r>
      <w:r>
        <w:instrText>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разделе V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49. Протоколы испытаний оборудования могут использоваться в качестве доказательственных материалов, являющихся основанием для принятия декларации о соотве</w:t>
      </w:r>
      <w:r>
        <w:t>тствии на основании собственных доказательств, при наличии в них значений показателей, подтверждающих соответствие заявленного оборудования всем распространяющимся на него требованиям настоящего технического регламента.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50. Декларация о соответствии оформ</w:t>
      </w:r>
      <w:r>
        <w:t xml:space="preserve">ляется в соответствии с </w:t>
      </w:r>
      <w:r>
        <w:fldChar w:fldCharType="begin"/>
      </w:r>
      <w:r>
        <w:instrText xml:space="preserve"> HYPERLINK "kodeks://link/d?nd=902389542&amp;point=mark=000000000000000000000000000000000000000000000000007DS0KD"\o"’’О единых формах сертификата соответствия и декларации о соответствии требованиям технических ...’’</w:instrText>
      </w:r>
    </w:p>
    <w:p w:rsidR="00000000" w:rsidRDefault="00A749A3">
      <w:pPr>
        <w:pStyle w:val="FORMATTEXT"/>
        <w:ind w:firstLine="568"/>
        <w:jc w:val="both"/>
      </w:pPr>
      <w:r>
        <w:instrText>Решение Коллегии ЕЭ</w:instrText>
      </w:r>
      <w:r>
        <w:instrText>К от 25.12.2012 N 293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действующая редакция (действ. с 22.12.2016)"</w:instrText>
      </w:r>
      <w:r>
        <w:fldChar w:fldCharType="separate"/>
      </w:r>
      <w:r>
        <w:rPr>
          <w:color w:val="0000AA"/>
          <w:u w:val="single"/>
        </w:rPr>
        <w:t xml:space="preserve">единой формой декларации о соответствии требованиям технического регламента Таможенного союза и правилами ее </w:t>
      </w:r>
      <w:r>
        <w:rPr>
          <w:color w:val="0000AA"/>
          <w:u w:val="single"/>
        </w:rPr>
        <w:lastRenderedPageBreak/>
        <w:t>оформления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"kodeks://link/d?nd=902389542&amp;po</w:instrText>
      </w:r>
      <w:r>
        <w:instrText>int=mark=0000000000000000000000000000000000000000000000000064U0IK"\o"’’О единых формах сертификата соответствия и декларации о соответствии требованиям технических ...’’</w:instrText>
      </w:r>
    </w:p>
    <w:p w:rsidR="00000000" w:rsidRDefault="00A749A3">
      <w:pPr>
        <w:pStyle w:val="FORMATTEXT"/>
        <w:ind w:firstLine="568"/>
        <w:jc w:val="both"/>
      </w:pPr>
      <w:r>
        <w:instrText>Решение Коллегии ЕЭК от 25.12.2012 N 293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действующая редакция (действ. с 22.12</w:instrText>
      </w:r>
      <w:r>
        <w:instrText>.2016)"</w:instrText>
      </w:r>
      <w:r>
        <w:fldChar w:fldCharType="separate"/>
      </w:r>
      <w:r>
        <w:rPr>
          <w:color w:val="0000AA"/>
          <w:u w:val="single"/>
        </w:rPr>
        <w:t>Решением Коллегии Евразийской экономической комиссии от 25 декабря 2012 года N 293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51. Декларация о соответствии подлежит регистрации в установленном порядке. Действие декларации о соответствии начинается со дня ее регистрации в Едином реестре</w:t>
      </w:r>
      <w:r>
        <w:t xml:space="preserve"> выданных сертификатов соответствия и зарегистрированных деклараций о соответствии. Срок действия декларации о соответствии серийно выпускаемого оборудования составляет не более 5 лет. Для партии оборудования (единичного изделия) срок действия декларации о</w:t>
      </w:r>
      <w:r>
        <w:t xml:space="preserve"> соответствии не устанавливается.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Декларация о соответствии партии оборудования требованиям настоящего технического регламента действует только в отношении оборудования, относящегося к конкретной партии.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52. Сертификация оборудования осуществляется по сл</w:t>
      </w:r>
      <w:r>
        <w:t>едующим схемам: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схема 1с применяется в отношении серийно выпускаемого оборудования, при этом: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"kodeks://link/d?nd=499031170&amp;point=mark=000000000000000000000000000000000000000000000000008P</w:instrText>
      </w:r>
      <w:r>
        <w:instrText>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подает заявку на сертификацию в орган по сертификации;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проводит отбор образцов у заявителя для проведения испытаний;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аккредитованная испытательная лаборатория проводит </w:t>
      </w:r>
      <w:r>
        <w:t>испытания образцов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</w:t>
      </w:r>
      <w:r>
        <w:t>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(или) анализа состояния производства;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схема 3с применяется в отношении партии оборудования, при этом: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"kodeks://link/d?nd=499031170&amp;point=mark=000000000000000000000000000000000000000000000000008PA0LR"\o"’’ТР ТС 032/2013 Технический регламент Таможенного союза ’’О безопасности оборудования, р</w:instrText>
      </w:r>
      <w:r>
        <w:instrText>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подает заявку на сертификацию в орган по</w:t>
      </w:r>
      <w:r>
        <w:t xml:space="preserve"> сертификации;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или аккредитованная испытательная лаборатория проводит отбор образцов у заявителя для проведения испытаний;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аккредитованная испытательная лаборатория проводит испытания образцов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пр</w:t>
      </w:r>
      <w:r>
        <w:t>оводит анализ результатов испытаний образцов оборудования и при положительных результатах выдает заявителю сертификат соответствия;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схема 4с применяется в отношении единичного изделия, при этом: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заявитель формирует комплект документов, указанных в </w:t>
      </w:r>
      <w:r>
        <w:fldChar w:fldCharType="begin"/>
      </w:r>
      <w:r>
        <w:instrText xml:space="preserve"> HY</w:instrText>
      </w:r>
      <w:r>
        <w:instrText>PERLINK "kodeks://link/d?nd=499031170&amp;point=mark=000000000000000000000000000000000000000000000000008PA0LR"\o"’’ТР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</w:instrText>
      </w:r>
      <w:r>
        <w:instrText xml:space="preserve">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подает заявку на сертификацию в орган по сертификации, в которой должны содержаться идент</w:t>
      </w:r>
      <w:r>
        <w:t>ифицирующие признаки единичного изделия;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сообщает заявителю решение по заявке, содержащее условия проведения сертификации;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аккредитованная испытательная лаборатория по поручению органа по сертификации проводит испытания единичного и</w:t>
      </w:r>
      <w:r>
        <w:t>зделия;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схема 7с применяется в отношении оборудования, предназначенного для постановки на серийное</w:t>
      </w:r>
      <w:r>
        <w:t xml:space="preserve"> и массовое производство, а также в случае планирования модификаций оборудования, при этом: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 xml:space="preserve">заявитель формирует комплект документов, указанных в </w:t>
      </w:r>
      <w:r>
        <w:fldChar w:fldCharType="begin"/>
      </w:r>
      <w:r>
        <w:instrText xml:space="preserve"> HYPERLINK "kodeks://link/d?nd=499031170&amp;point=mark=000000000000000000000000000000000000000000000000008PA0LR"\</w:instrText>
      </w:r>
      <w:r>
        <w:instrText>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ункте 45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подает заявку на сертификацию в орган по сертификации;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орган по сертификации проводит исследование типа оборудования одним из следующих способов: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исследование образца оборудования для запланированного пр</w:t>
      </w:r>
      <w:r>
        <w:t>оизводства как типового представителя всей будущей продукции;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анализ технической документации, испытания образца оборудования или основных составных элементов.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Результаты исследования оформляются заключением, в котором орган по сертификации дает оценку с</w:t>
      </w:r>
      <w:r>
        <w:t>оответствия типа оборудования установленным требованиям.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Анализ состояния производства у заявителя проводится органом по сертификации. Результаты анализа оформляются актом.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положительных результатах исследования типа оборудования и анализа производст</w:t>
      </w:r>
      <w:r>
        <w:t>ва орган по сертификации оформляет сертификат соответствия и выдает его заявителю.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53. 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</w:t>
      </w:r>
      <w:r>
        <w:t>ов оборудования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</w:t>
      </w:r>
      <w:r>
        <w:t>нтроля. При отрицательных результатах инспекционного контроля орган по сертификации принимает одно из следующих решений: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приостановить действие сертификата соответствия;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отменить действие сертификата соответствия.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54. При внесении изменений в конс</w:t>
      </w:r>
      <w:r>
        <w:t>трукцию (состав) оборудования или технологию его производства, которые могут повлиять на соответствие оборудования требованиям настоящего технического регламента, заявитель заранее письменно извещает об этом орган по сертификации, который принимает решение</w:t>
      </w:r>
      <w:r>
        <w:t xml:space="preserve"> о необходимости проведения новых испытаний и (или) анализа состояния производства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55. При сертификации по схемам 1с и 7с заявителями могут быть зарегистрированные в соответствии с законодательством государства-члена на его территории юридич</w:t>
      </w:r>
      <w:r>
        <w:t>еское лицо или физическое лицо в качестве индивидуального предпринимателя, являющиеся изготовителями либо уполномоченными изготовителем лицами.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сертификации по схемам 3с и 4с заявителями могут быть зарегистрированные в соответствии с законодательством</w:t>
      </w:r>
      <w:r>
        <w:t xml:space="preserve"> государства-члена на его территории юридическое лицо или физическое лицо в качестве индивидуального предпринимателя, являющиеся изготовителями, продавцами либо уполномоченными изготовителем лицами.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56. Заявитель может обратиться с заявкой на проведение с</w:t>
      </w:r>
      <w:r>
        <w:t>ертификации в любой орган по сертификации, имеющий соответствующую область аккредитации.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57. Сертификат соответствия оформляется в соответствии с </w:t>
      </w:r>
      <w:r>
        <w:fldChar w:fldCharType="begin"/>
      </w:r>
      <w:r>
        <w:instrText xml:space="preserve"> HYPERLINK "kodeks://link/d?nd=902389542&amp;point=mark=000000000000000000000000000000000000000000000000006580IP"</w:instrText>
      </w:r>
      <w:r>
        <w:instrText>\o"’’О единых формах сертификата соответствия и декларации о соответствии требованиям технических ...’’</w:instrText>
      </w:r>
    </w:p>
    <w:p w:rsidR="00000000" w:rsidRDefault="00A749A3">
      <w:pPr>
        <w:pStyle w:val="FORMATTEXT"/>
        <w:ind w:firstLine="568"/>
        <w:jc w:val="both"/>
      </w:pPr>
      <w:r>
        <w:instrText>Решение Коллегии ЕЭК от 25.12.2012 N 293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действующая редакция (действ. с 22.12.2016)"</w:instrText>
      </w:r>
      <w:r>
        <w:fldChar w:fldCharType="separate"/>
      </w:r>
      <w:r>
        <w:rPr>
          <w:color w:val="0000AA"/>
          <w:u w:val="single"/>
        </w:rPr>
        <w:t>единой формой сертификата соответствия требованиям техничес</w:t>
      </w:r>
      <w:r>
        <w:rPr>
          <w:color w:val="0000AA"/>
          <w:u w:val="single"/>
        </w:rPr>
        <w:t>кого регламента Таможенного союза и правилами его оформления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"kodeks://link/d?nd=902389542&amp;point=mark=0000000000000000000000000000000000000000000000000064U0IK"\o"’’О единых формах сертификата соответствия и декларации о соотве</w:instrText>
      </w:r>
      <w:r>
        <w:instrText>тствии требованиям технических ...’’</w:instrText>
      </w:r>
    </w:p>
    <w:p w:rsidR="00000000" w:rsidRDefault="00A749A3">
      <w:pPr>
        <w:pStyle w:val="FORMATTEXT"/>
        <w:ind w:firstLine="568"/>
        <w:jc w:val="both"/>
      </w:pPr>
      <w:r>
        <w:instrText>Решение Коллегии ЕЭК от 25.12.2012 N 293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действующая редакция (действ. с 22.12.2016)"</w:instrText>
      </w:r>
      <w:r>
        <w:fldChar w:fldCharType="separate"/>
      </w:r>
      <w:r>
        <w:rPr>
          <w:color w:val="0000AA"/>
          <w:u w:val="single"/>
        </w:rPr>
        <w:t>Решением Коллегии Евразийской экономической комиссии от 25 декабря 2012 года N 293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58. Срок действия сертификата соответ</w:t>
      </w:r>
      <w:r>
        <w:t>ствия оборудования составляет: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при использовании схемы 1с, 3с и 4с - 5 лет;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при использовании схемы 7с - в течение назначенного срока службы или назначенного ресурса.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59. Документы и материалы, подтверждающие результаты сертификации, хранятся в ор</w:t>
      </w:r>
      <w:r>
        <w:t>гане по сертификации, выдавшем сертификат соответствия, в течение расчетного срока службы оборудования, прошедшего процедуру сертификации.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60. По требованию потребителей (приобретателей) и (или) заинтересованных лиц копия декларации о соответствии или сер</w:t>
      </w:r>
      <w:r>
        <w:t>тификата соответствия должна быть предоставлена им безвозмездно изготовителем (уполномоченным изготовителем лицом) или продавцом.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Маркировка оборудования единым знаком обращения продукции на рынке государств - членов Таможенного союза </w:t>
      </w:r>
    </w:p>
    <w:p w:rsidR="00000000" w:rsidRDefault="00A749A3">
      <w:pPr>
        <w:pStyle w:val="FORMATTEXT"/>
        <w:ind w:firstLine="568"/>
        <w:jc w:val="both"/>
      </w:pPr>
      <w:r>
        <w:t>61. Оборудов</w:t>
      </w:r>
      <w:r>
        <w:t>ание, соответствующее требованиям настоящего технического регламента и прошедшее процедуру подтверждения соответствия, маркируется единым знаком обращения продукции на рынке государств - членов Таможенного союза.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62. Маркировка единым знаком обращения про</w:t>
      </w:r>
      <w:r>
        <w:t>дукции на рынке государств - членов Таможенного союза осуществляется перед выпуском оборудования в обращение на этом рынке.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63. Единый знак обращения продукции на рынке государств - членов Таможенного союза наносится на каждую единицу оборудования любым с</w:t>
      </w:r>
      <w:r>
        <w:t>пособом, обеспечивающим четкое и ясное изображение в течение всего срока службы оборудования, а также приводится в прилагаемых к ней эксплуатационных документах.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64. Маркировка оборудования единым знаком обращения продукции на рынке государств - членов Та</w:t>
      </w:r>
      <w:r>
        <w:t>моженного союза свидетельствует о соответствии его требованиям всех технических регламентов Таможенного союза, распространяющихся на это оборудование и предусматривающих нанесение единого знака обращения продукции на рынке государств - членов Таможенного с</w:t>
      </w:r>
      <w:r>
        <w:t>оюза.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Защитительная оговорка </w: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65. Уполномоченные органы государств-членов предпринимают все меры для ограничения и запрета выпуска в обращение оборудования на таможенной территории Таможенного союза, а также для изъятия с рынка оборудования, не со</w:t>
      </w:r>
      <w:r>
        <w:t>ответствующего требованиям настоящего технического регламента.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"kodeks://link/d?nd=499031170&amp;point=mark=0000P75000002D20EBBGO31LUVKU0AEIPT83VVVPR8000032I0000NM1"\o"’’ТР ТС 032/2013 Технический регламент Таможенного союза ’’О безопасности оборудо</w:instrText>
      </w:r>
      <w:r>
        <w:rPr>
          <w:rFonts w:ascii="Arial" w:hAnsi="Arial" w:cs="Arial"/>
          <w:sz w:val="20"/>
          <w:szCs w:val="20"/>
        </w:rPr>
        <w:instrText>вания, работающего под ...’’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(утв. решением Совета ЕЭК от 02.07.2013 N 41)</w:instrText>
      </w:r>
    </w:p>
    <w:p w:rsidR="00000000" w:rsidRDefault="00A749A3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65.1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 этом случае уполномоченный орган одного государства-члена обязан уведом</w:t>
      </w:r>
      <w:r>
        <w:t>ить уполномоченные органы других государств-членов о принятом решении с указанием причины его принятия и предоставлением доказательств, разъясняющих необходимость реализации данной 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jc w:val="right"/>
      </w:pPr>
      <w:r>
        <w:t>Приложение N 1</w:t>
      </w:r>
    </w:p>
    <w:p w:rsidR="00000000" w:rsidRDefault="00A749A3">
      <w:pPr>
        <w:pStyle w:val="FORMATTEXT"/>
        <w:jc w:val="right"/>
      </w:pPr>
      <w:r>
        <w:t>к техническому регламенту Таможенного</w:t>
      </w:r>
    </w:p>
    <w:p w:rsidR="00000000" w:rsidRDefault="00A749A3">
      <w:pPr>
        <w:pStyle w:val="FORMATTEXT"/>
        <w:jc w:val="right"/>
      </w:pPr>
      <w:r>
        <w:t>союза "О безопа</w:t>
      </w:r>
      <w:r>
        <w:t>сности оборудования,</w:t>
      </w:r>
    </w:p>
    <w:p w:rsidR="00000000" w:rsidRDefault="00A749A3">
      <w:pPr>
        <w:pStyle w:val="FORMATTEXT"/>
        <w:jc w:val="right"/>
      </w:pPr>
      <w:r>
        <w:t>работающего под избыточным давлением"</w:t>
      </w:r>
    </w:p>
    <w:p w:rsidR="00000000" w:rsidRDefault="00A749A3">
      <w:pPr>
        <w:pStyle w:val="FORMATTEXT"/>
        <w:jc w:val="right"/>
      </w:pPr>
      <w:r>
        <w:t xml:space="preserve">(ТР ТС 032/2013)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Классификация оборудования по категориям опасности </w:t>
      </w:r>
    </w:p>
    <w:p w:rsidR="00000000" w:rsidRDefault="00A749A3">
      <w:pPr>
        <w:pStyle w:val="FORMATTEXT"/>
        <w:ind w:firstLine="568"/>
        <w:jc w:val="both"/>
      </w:pPr>
      <w:r>
        <w:t xml:space="preserve">1. Категории оборудования определяются в соответствии с </w:t>
      </w:r>
      <w:r>
        <w:fldChar w:fldCharType="begin"/>
      </w:r>
      <w:r>
        <w:instrText xml:space="preserve"> HYPERLINK "kodeks://link/d?nd=499031170&amp;point=mark=000000000000000000000000000000000000000000000000008Q20M3"\o"’’ТР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</w:instrText>
      </w:r>
      <w:r>
        <w:instrText>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таблицами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"kodeks://link/d?nd=499031170&amp;point=mark=000000000000000000000000000000000000000000000000008P60LP"\o"’’ТР ТС 032/2013 Те</w:instrText>
      </w:r>
      <w:r>
        <w:instrText>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pStyle w:val="FORMATTEXT"/>
        <w:ind w:firstLine="568"/>
        <w:jc w:val="both"/>
      </w:pPr>
      <w:r>
        <w:instrText>(утв. решением Совета ЕЭК от 02.07.2013 N 41)</w:instrText>
      </w:r>
    </w:p>
    <w:p w:rsidR="00000000" w:rsidRDefault="00A749A3">
      <w:pPr>
        <w:pStyle w:val="FORMATTEXT"/>
        <w:ind w:firstLine="568"/>
        <w:jc w:val="both"/>
      </w:pPr>
      <w:r>
        <w:instrText>Технический регламент Таможенного союза от 02.07.2013 N ТР ТС ...</w:instrText>
      </w:r>
    </w:p>
    <w:p w:rsidR="00000000" w:rsidRDefault="00A749A3">
      <w:pPr>
        <w:pStyle w:val="FORMATTEXT"/>
        <w:ind w:firstLine="568"/>
        <w:jc w:val="both"/>
      </w:pPr>
      <w:r>
        <w:instrText>Статус: действует с 01.02.2014"</w:instrText>
      </w:r>
      <w:r>
        <w:fldChar w:fldCharType="separate"/>
      </w:r>
      <w:r>
        <w:rPr>
          <w:color w:val="0000AA"/>
          <w:u w:val="single"/>
        </w:rPr>
        <w:t>9 настоящего документа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Предохранительные устройства классифицируются по 4-й категории, за исключением предохранительных устройств, изготовленных (произведенных) для конкретного оборудования, которые могут классифицироваться по той же категории, что и оборудование, для кот</w:t>
      </w:r>
      <w:r>
        <w:t>орого они изготовлены (произведены).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2. Категория оборудования, предназначенного для эксплуатации с расчетной температурой выше переходной температуры ползучести металла, увеличивается на 1 (кроме 4-й категории).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3. Переходная температура ползучести сост</w:t>
      </w:r>
      <w:r>
        <w:t>авляет: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400°С для углеродистых и низколегированных кремнемарганцовистых сталей;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450°С - для низколегированных хромомолибденовых и хромомолибденованадиевых сталей;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525°С - для легированных высокохромистых мартенситного класса и аустенитных сталей;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575°С</w:t>
      </w:r>
      <w:r>
        <w:t xml:space="preserve"> - для сплавов на железоникелевой и никелевой основе.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jc w:val="right"/>
      </w:pPr>
      <w:r>
        <w:t xml:space="preserve">Таблица 1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сосудов, предназначенных для газов и используемых для рабочих сред группы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270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оборудования (м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рабочего давления и значения вместимости (МПа · 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0,0025 до 0,005 включительно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0,005 до 0,02 включительно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0,0001 до 0,001 </w:t>
            </w:r>
            <w:r>
              <w:rPr>
                <w:sz w:val="18"/>
                <w:szCs w:val="18"/>
              </w:rPr>
              <w:t>включительно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 до 100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0,02 до 0,1 включительно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0,0001 до 0,001 включительно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0,1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2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</w:t>
      </w:r>
      <w:r>
        <w:rPr>
          <w:b/>
          <w:bCs/>
        </w:rPr>
        <w:t>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сосудов, предназначенных для газов и используемых для рабочих сред группы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2205"/>
        <w:gridCol w:w="27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оборудования (м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рабочего давления и значения вместимости (МПа · 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>
              <w:rPr>
                <w:sz w:val="18"/>
                <w:szCs w:val="18"/>
              </w:rPr>
              <w:t xml:space="preserve"> 0,005 до 0,02 включительно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0,02 до 0,1 включительно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0,0001 до 0,001 включительно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300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0,001 до 1 включительно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0,1 до 0,3 включительно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</w:t>
            </w:r>
            <w:r>
              <w:rPr>
                <w:sz w:val="18"/>
                <w:szCs w:val="18"/>
              </w:rPr>
              <w:t xml:space="preserve">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до 0,4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0,0001 до 0,001 включительно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0,001 до 1 включительно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0,3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0,4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3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сосудов, предназначенных для жидкостей и используемых для рабочих сред группы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2010"/>
        <w:gridCol w:w="2685"/>
        <w:gridCol w:w="2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оборудования (м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рабочего давления на значение вместимости (МПа · 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0,01 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0,05 до 1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0,02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 до 50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0,0001 до 0,001 включительно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0,001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4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Категории сосудов, предназн</w:t>
      </w:r>
      <w:r>
        <w:rPr>
          <w:b/>
          <w:bCs/>
        </w:rPr>
        <w:t xml:space="preserve">аченных для жидкостей и используемых для рабочих сред группы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2100"/>
        <w:gridCol w:w="270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оборудования (м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рабочего давления на значение вместимости (МПа · 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0,01 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 до 50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0,0001 до 0,01 включительно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lastRenderedPageBreak/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5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паровых, водогрейных котлов и сосудов с огневым обогревом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оборудования (м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рабочего давления на значение вместимости (МПа · м</w:t>
            </w:r>
            <w:r w:rsidR="008B2457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0,002 до 0,1 включительно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0,005 включительно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0,002 до 0,4 включительно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0,005 до 0,02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до 3,2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0,002 до 1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0,02 до 0,3 включительно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>
              <w:rPr>
                <w:sz w:val="18"/>
                <w:szCs w:val="18"/>
              </w:rPr>
              <w:t xml:space="preserve"> 0,05 до 3,2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4-я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0,002 до 0,01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0,01 до 1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0,3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6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Категории трубопроводов, предназначенных дл</w:t>
      </w:r>
      <w:r>
        <w:rPr>
          <w:b/>
          <w:bCs/>
        </w:rPr>
        <w:t xml:space="preserve">я газов и паров и используемых для рабочих сред группы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90"/>
        <w:gridCol w:w="2295"/>
        <w:gridCol w:w="240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диаметр (мм)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Произведение значения максимально допустимого рабочего давления на значение номинального диаметра (МПа · мм)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 допустимое рабочее да</w:t>
            </w:r>
            <w:r>
              <w:rPr>
                <w:sz w:val="18"/>
                <w:szCs w:val="18"/>
              </w:rPr>
              <w:t xml:space="preserve">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25 до 100 включительно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до 1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25 до 100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включительно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до 3,5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350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0,05 до</w:t>
            </w:r>
            <w:r>
              <w:rPr>
                <w:sz w:val="18"/>
                <w:szCs w:val="18"/>
              </w:rPr>
              <w:t xml:space="preserve"> 1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25 до 350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 до 350 включительно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до 3,5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25 до 100 включительно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350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до 1 </w:t>
            </w:r>
            <w:r>
              <w:rPr>
                <w:sz w:val="18"/>
                <w:szCs w:val="18"/>
              </w:rPr>
              <w:lastRenderedPageBreak/>
              <w:t>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350 включител</w:t>
            </w:r>
            <w:r>
              <w:rPr>
                <w:sz w:val="18"/>
                <w:szCs w:val="18"/>
              </w:rPr>
              <w:t>ьно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350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 до 3,5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3,5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7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трубопроводов, предназначенных для газов и паров и используемых для рабочих сред группы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267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ди</w:t>
            </w:r>
            <w:r>
              <w:rPr>
                <w:sz w:val="18"/>
                <w:szCs w:val="18"/>
              </w:rPr>
              <w:t xml:space="preserve">аметр (мм)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Произведение значения максимально допустимого рабочего давления на значение номинального диаметра (МПа · мм)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32 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350 включительно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0,05 до 3,2 включитель</w:t>
            </w:r>
            <w:r>
              <w:rPr>
                <w:sz w:val="18"/>
                <w:szCs w:val="18"/>
              </w:rPr>
              <w:t xml:space="preserve">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32 до 100 включительно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350 до 500 включительно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0,05 до 3,2 включительно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250 включительно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250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250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500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>
              <w:rPr>
                <w:sz w:val="18"/>
                <w:szCs w:val="18"/>
              </w:rPr>
              <w:t xml:space="preserve"> 0,05 до 3,2 включительно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8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трубопроводов, предназначенных для жидкостей и используемых для рабочих сред группы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2205"/>
        <w:gridCol w:w="270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диаметр (мм)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Произведение значения максимально допустимого раб</w:t>
            </w:r>
            <w:r>
              <w:rPr>
                <w:sz w:val="18"/>
                <w:szCs w:val="18"/>
              </w:rPr>
              <w:t xml:space="preserve">очего давления на значение номинального диаметра (МПа · мм)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25 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 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0,05 до 1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 до 8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350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</w:t>
            </w:r>
            <w:r>
              <w:rPr>
                <w:sz w:val="18"/>
                <w:szCs w:val="18"/>
              </w:rPr>
              <w:t xml:space="preserve">ше 8 до 50 </w:t>
            </w:r>
            <w:r>
              <w:rPr>
                <w:sz w:val="18"/>
                <w:szCs w:val="18"/>
              </w:rPr>
              <w:lastRenderedPageBreak/>
              <w:t>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3-я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 xml:space="preserve">Таблица 9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Категории трубопроводов, предназначенных для жидкостей и используемых для рабочих сред группы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2295"/>
        <w:gridCol w:w="261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оборудования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диаметр (мм)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</w:t>
            </w:r>
            <w:r>
              <w:rPr>
                <w:sz w:val="18"/>
                <w:szCs w:val="18"/>
              </w:rPr>
              <w:t xml:space="preserve">ие значения максимально допустимого рабочего давления на значение номинального диаметра (МПа · мм)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допустимое рабочее давление (МПа)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 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500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 до 50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>
              <w:rPr>
                <w:sz w:val="18"/>
                <w:szCs w:val="18"/>
              </w:rPr>
              <w:t xml:space="preserve"> 50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FORMATTEXT"/>
        <w:jc w:val="right"/>
      </w:pPr>
      <w:r>
        <w:t>Приложение N 2</w:t>
      </w:r>
    </w:p>
    <w:p w:rsidR="00000000" w:rsidRDefault="00A749A3">
      <w:pPr>
        <w:pStyle w:val="FORMATTEXT"/>
        <w:jc w:val="right"/>
      </w:pPr>
      <w:r>
        <w:t>к техническому регламенту</w:t>
      </w:r>
    </w:p>
    <w:p w:rsidR="00000000" w:rsidRDefault="00A749A3">
      <w:pPr>
        <w:pStyle w:val="FORMATTEXT"/>
        <w:jc w:val="right"/>
      </w:pPr>
      <w:r>
        <w:t>Таможенного союза "О безопасности</w:t>
      </w:r>
    </w:p>
    <w:p w:rsidR="00000000" w:rsidRDefault="00A749A3">
      <w:pPr>
        <w:pStyle w:val="FORMATTEXT"/>
        <w:jc w:val="right"/>
      </w:pPr>
      <w:r>
        <w:t>оборудования, работающего под</w:t>
      </w:r>
    </w:p>
    <w:p w:rsidR="00000000" w:rsidRDefault="00A749A3">
      <w:pPr>
        <w:pStyle w:val="FORMATTEXT"/>
        <w:jc w:val="right"/>
      </w:pPr>
      <w:r>
        <w:t>избыточным давлением"</w:t>
      </w:r>
    </w:p>
    <w:p w:rsidR="00000000" w:rsidRDefault="00A749A3">
      <w:pPr>
        <w:pStyle w:val="FORMATTEXT"/>
        <w:jc w:val="right"/>
      </w:pPr>
      <w:r>
        <w:t xml:space="preserve">(ТР ТС 032/2013)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Требования к безопасности оборудования при разработке (проектировании), изго</w:t>
      </w:r>
      <w:r>
        <w:rPr>
          <w:b/>
          <w:bCs/>
        </w:rPr>
        <w:t xml:space="preserve">товлении (производстве) </w:t>
      </w:r>
    </w:p>
    <w:p w:rsidR="00000000" w:rsidRDefault="00A749A3">
      <w:pPr>
        <w:pStyle w:val="FORMATTEXT"/>
        <w:ind w:firstLine="568"/>
        <w:jc w:val="both"/>
      </w:pPr>
      <w:r>
        <w:t>1. При разработке (проектировании) оборудования рассчитывается его прочность с учетом прогнозируемых нагрузок, которые могут возникнуть в процессе его эксплуатации, транспортировки, перевозки, монтажа и прогнозируемых отклонений от</w:t>
      </w:r>
      <w:r>
        <w:t xml:space="preserve"> таких нагрузок. При этом учитываются следующие факторы: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нагрузки, действующие на внутреннюю и наружную поверхности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температура окружающей среды и температура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статическое давление в рабочих условиях и давление в усл</w:t>
      </w:r>
      <w:r>
        <w:t>овиях испытания от веса содержимого в оборудовании;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инерционные нагрузки при движении, ветровые и сейсмические воздействия;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реактивные усилия (противодействия), которые передаются от опор, креплений, трубопроводов;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усталость при переменных нагр</w:t>
      </w:r>
      <w:r>
        <w:t>узках;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эрозионные и коррозионные воздействия среды, в том числе эрозионно-коррозионный износ;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химические реакции из-за нестабильности перерабатываемых сред и технологического процесса;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и) изменения механических свойств материалов в процессе эксплу</w:t>
      </w:r>
      <w:r>
        <w:t>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2. Оборудование должно исключать возможность причинения вреда в случаях: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закрывания и открывания люков либо устройств контроля состояния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б) выполнения технологических операций, связанных с постановкой оборудования под давление, </w:t>
      </w:r>
      <w:r>
        <w:t>вводом оборудования в рабочий режим, а также со сбросом давления;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выполнения технологических операций, связанных с риском падения персонала с рабочей площадки для обслуживания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возникновения внутри оборудования избыточного давления или</w:t>
      </w:r>
      <w:r>
        <w:t xml:space="preserve"> вакуума при нахождении внутри этого оборудования людей;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возникновения недопустимой температуры внешних поверхностей;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разложения нестабильных рабочих сред.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3. Оборудование проектируется с учетом обеспечения возможности проведения проверок, необход</w:t>
      </w:r>
      <w:r>
        <w:t>имых для подтверждения его соответствия требованиям безопасности.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4. Проектом оборудования определяются его границы (пределы).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5. Проект в зависимости от назначения оборудования должен предусматривать его оснащение: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предохранительными устройствами;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средствами измерения уровня жидкой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средствами измерения давления;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средствами измерения температуры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запорной и регулирующей арматурой;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питательными устройствами;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устройствами для контроля тепловых перемещ</w:t>
      </w:r>
      <w:r>
        <w:t>ений.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6. Конструкция оборудования должна обеспечивать безопасный доступ персонала к приборам безопасности и приборам контроля параметров рабочей среды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7. Проект оборудования должен предусматривать применение: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средств контроля и измерени</w:t>
      </w:r>
      <w:r>
        <w:t>й, погрешность которых в рабочих условиях не превышает предельно допустимое отклонение контрольного параметра;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средств измерений в соответствии с условиями эксплуатации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8. Проектом должно быть предусмотрено оснащение оборудования устройс</w:t>
      </w:r>
      <w:r>
        <w:t>твами дренирования среды и удаления воздуха, позволяющими: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избежать гидравлического удара, вакуумного разрушения, коррозии или возникновения неконтролируемых химических реакций (при этом должны учитываться процессы эксплуатации и испытаний);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обеспе</w:t>
      </w:r>
      <w:r>
        <w:t>чить безопасные очистку, контроль и техническое обслуживание.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9. Проект оборудования должен предусматривать обеспечение безопасности процессов заполнения или слива оборудования в случае: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а) переполнения или превышения давления, а также при необходимости </w:t>
      </w:r>
      <w:r>
        <w:t>работы оборудования под давлением, возникающим периодически при заполнении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неконтролируемого слива рабочей среды при сливе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опасности, связанной с присоединением к источнику давления и отсоединением от него при заполнении</w:t>
      </w:r>
      <w:r>
        <w:t xml:space="preserve"> или сливе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10. В целях предупреждения коррозии, эрозионно-коррозионного износа или другого химического воздействия рабочей среды в процессе эксплуатации и защиты от них оборудования обеспечивается: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минимизация этих воздействий за счет ко</w:t>
      </w:r>
      <w:r>
        <w:t>нструктивного исполнения;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возможность замены элементов оборудования, которые могут подвергаться этому воздействию.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11. В случае необходимости оборудование оснащается устройствами, обеспечивающими минимизацию последствий при внешнем возгорании.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Необхо</w:t>
      </w:r>
      <w:r>
        <w:t>димо предусмотреть дополнительное освещение для безопасной эксплуатации оборудования. Внутренние части и области оборудования, требующие частого осмотра, настройки и технического обслуживания, должны иметь освещение, обеспечивающее безопасность.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12. В обо</w:t>
      </w:r>
      <w:r>
        <w:t>рудовании, для которого существует опасность перегрева, исключаются или сводятся к минимуму факторы, возникающие в результате перегрева оборудования и снижающие его безопасность. В этих целях предусматриваются: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устройства для ограничения подачи или отв</w:t>
      </w:r>
      <w:r>
        <w:t>ода тепла, ограничения уровня рабочей среды в целях исключения местного или общего перегрева металла;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места отбора проб рабочей среды в целях оценки ее воздействия на образование отложений примесей и (или) коррозионных повреждений;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меры по предотвр</w:t>
      </w:r>
      <w:r>
        <w:t>ащению повреждений, связанных с отложениями примесей;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устройства для безопасного удаления остаточного или излишнего тепла после отключения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меры по исключению образования взрывопожароопасных смесей, а также распространения пламени (огн</w:t>
      </w:r>
      <w:r>
        <w:t>епреградители, пламяотсекатели, гидравлические затворы).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13. Оценка прочности оборудования основывается на методах расчета или на результатах экспериментальных испытаний без расчета, применяемых в случаях, если произведение значения максимально допустимог</w:t>
      </w:r>
      <w:r>
        <w:t>о рабочего давления и значения вместимости оборудования составляет менее 0,6 МПа · 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если произведение значения максимально допустимого рабочего давления и значения номинального диаметра составляет менее 300 МПа · мм.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14. Для расчета на прочность оборудования применяются следующие методы расчета, которые могут дополнять друг друга: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при помощи формул, приведенных в нормах расчета на прочность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на основании численного анализа напряженного состояния;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 основании рассмотрения предельных состояний и механики разрушения.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15. При расчете на прочность учитываются все возможные нагрузки и факторы и вероятность их одновременного возникновения, все возможные механизмы разрушения (вязкое или хрупкое, пол</w:t>
      </w:r>
      <w:r>
        <w:t>зучесть материалов, усталость материалов, коррозионное растрескивание) в соответствии с назначением оборудования и процессами его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16. Для обеспечения прочности оборудования необходимы следующие условия: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величина расчетного давления должн</w:t>
      </w:r>
      <w:r>
        <w:t xml:space="preserve">а быть не менее максимально допустимого рабочего давления, для которого предназначено оборудование. Величина расчетного давления учитывает </w:t>
      </w:r>
      <w:r>
        <w:lastRenderedPageBreak/>
        <w:t>статический напор и динамические нагрузки рабочей среды, повышение давления из-за нестабильности рабочих сред и техно</w:t>
      </w:r>
      <w:r>
        <w:t>логических процессов. Для оборудования, состоящего из нескольких камер, работающих с разными величинами давления, за расчетное давление принимается либо каждое давление в отдельности, либо давление, которое требует большей толщины стенки рассчитываемого эл</w:t>
      </w:r>
      <w:r>
        <w:t>емента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расчетные температуры предусматривают безопасные пределы применения материалов 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оборудование и материалы, из которых изготавливается (производится) оборудование, применяются в диапазоне расчетных температур;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г) </w:t>
      </w:r>
      <w:r>
        <w:t>учитываются все возможные сочетания давления, температуры и других нагрузок, возникающие в процессе эксплуатации, транспортировки, перевозки и испытаний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17. При расчете на прочность учитывают следующие характеристики материалов: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предел т</w:t>
      </w:r>
      <w:r>
        <w:t>екучести, условные пределы текучести при 0,2 процента и 1 проценте остаточной деформации при нормальной и расчетной температурах;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временное сопротивление (предел прочности) на растяжение при нормальной и расчетной температурах;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предел длительной пр</w:t>
      </w:r>
      <w:r>
        <w:t>очности или предел ползучести при расчетной температуре и заданном количестве часов;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характеристика малоцикловой прочности или усталости при заданном числе циклов и уровне напряжений;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модуль продольной упругости (модуль Юнга) при нормальной и расче</w:t>
      </w:r>
      <w:r>
        <w:t>тной температурах;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значения пластической деформации при разрыве стандартных образцов;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ударная вязкость;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з) вязкость разрушения (коэффициент интенсивности напряжений).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18. Расчеты на прочность производятся с учетом коэффициентов прочности сварных </w:t>
      </w:r>
      <w:r>
        <w:t>соединений, значения которых зависят от свариваемых материалов, технологии сварки (пайки), формы соединения, метода и объема неразрушающего контроля и процессов эксплуатации оборудования. Элементы оборудования, работающие под внешним давлением или испытыва</w:t>
      </w:r>
      <w:r>
        <w:t>ющие сжимающие напряжения от других нагрузок, должны быть проверены на устойчивость формы.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19. При расчете оборудования на прочность учитываются прогнозируемые отклонения рабочих параметров в процессе его эксплуатации, допускаемые неточности изготовления </w:t>
      </w:r>
      <w:r>
        <w:t>(производства), возможные отклонения механических характеристик применяемых материалов.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20. Расчет на прочность обеспечивает запас прочности оборудования, который учитывается при определении допускаемых напряжений.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21. Допускаемое напряжение при расчете </w:t>
      </w:r>
      <w:r>
        <w:t>на прочность по предельным нагрузкам оборудования, работающего под статическими нагрузками, определяется по следующим формулам: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для пластичных углеродистых и низколегированных, ферритных, аустенитно-ферритных мартенситных сталей и сплавов на железонике</w:t>
      </w:r>
      <w:r>
        <w:t>левой основе: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3114675" cy="5048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, </w:t>
      </w:r>
    </w:p>
    <w:p w:rsidR="00000000" w:rsidRDefault="00A749A3">
      <w:pPr>
        <w:pStyle w:val="FORMATTEXT"/>
        <w:ind w:firstLine="568"/>
        <w:jc w:val="both"/>
      </w:pPr>
      <w:r>
        <w:t>где: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допускаемое напряжение при расчете на прочность по предельным нагрузкам оборудования, работающего под статическими нагрузками;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7622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минимальное значение предела текучести при 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44767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минимальное значение условного предела текучести при 0,2 процента остаточной деформации и 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57175" cy="219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минимальное значение временного сопротивления (предела прочности) при температуре 20°С;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466725" cy="257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среднее значение предела длительной прочности за 10</w:t>
      </w:r>
      <w:r>
        <w:rPr>
          <w:noProof/>
          <w:position w:val="-8"/>
        </w:rPr>
        <w:drawing>
          <wp:inline distT="0" distB="0" distL="0" distR="0">
            <wp:extent cx="114300" cy="219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 часов при </w:t>
      </w:r>
      <w:r w:rsidR="00A749A3">
        <w:t>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495300" cy="2571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среднее значение 1 процента предела ползучести за 10</w:t>
      </w:r>
      <w:r>
        <w:rPr>
          <w:noProof/>
          <w:position w:val="-8"/>
        </w:rPr>
        <w:drawing>
          <wp:inline distT="0" distB="0" distL="0" distR="0">
            <wp:extent cx="114300" cy="219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 часов при 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для аустенитной хромоникелевой стали, алюм</w:t>
      </w:r>
      <w:r>
        <w:t>иния, меди и их сплавов: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2562225" cy="5048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, </w:t>
      </w:r>
    </w:p>
    <w:p w:rsidR="00000000" w:rsidRDefault="00A749A3">
      <w:pPr>
        <w:pStyle w:val="FORMATTEXT"/>
        <w:ind w:firstLine="568"/>
        <w:jc w:val="both"/>
      </w:pPr>
      <w:r>
        <w:t>где: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52425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минимальное значение условного предела текучести при 1 проценте остаточной деформации и 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14325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>- минимальное значение временного сопротивления (предела прочности) при максимально допустимой температуре;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для алюминиевых литейных сплавов: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5"/>
        </w:rPr>
        <w:drawing>
          <wp:inline distT="0" distB="0" distL="0" distR="0">
            <wp:extent cx="676275" cy="390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; </w:t>
      </w:r>
    </w:p>
    <w:p w:rsidR="00000000" w:rsidRDefault="00A749A3">
      <w:pPr>
        <w:pStyle w:val="FORMATTEXT"/>
        <w:ind w:firstLine="568"/>
        <w:jc w:val="both"/>
      </w:pPr>
      <w:r>
        <w:t>г) для титана и титановых сплавов: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5"/>
        </w:rPr>
        <w:drawing>
          <wp:inline distT="0" distB="0" distL="0" distR="0">
            <wp:extent cx="676275" cy="3905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; </w:t>
      </w:r>
    </w:p>
    <w:p w:rsidR="00000000" w:rsidRDefault="00A749A3">
      <w:pPr>
        <w:pStyle w:val="FORMATTEXT"/>
        <w:ind w:firstLine="568"/>
        <w:jc w:val="both"/>
      </w:pPr>
      <w:r>
        <w:t>д) для листового проката и прокатных труб из титана и титановых сплавов: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676275" cy="4191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. </w:t>
      </w:r>
    </w:p>
    <w:p w:rsidR="00000000" w:rsidRDefault="00A749A3">
      <w:pPr>
        <w:pStyle w:val="FORMATTEXT"/>
        <w:ind w:firstLine="568"/>
        <w:jc w:val="both"/>
      </w:pPr>
      <w:r>
        <w:t>22. Разрешается определять допускаемое напряжение для аустенитных сталей по следующей формуле: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800100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. </w:t>
      </w:r>
    </w:p>
    <w:p w:rsidR="00000000" w:rsidRDefault="00A749A3">
      <w:pPr>
        <w:pStyle w:val="FORMATTEXT"/>
        <w:ind w:firstLine="568"/>
        <w:jc w:val="both"/>
      </w:pPr>
      <w:r>
        <w:t>23. Для стальных отливок значение допускаемого напряжения, определенное по формулам, указанным в пунктах 21 и 22 настоящих Требований, умножается на 0,8, если отливки подвергались сплошному неразрушающему контролю, или на 0,7, е</w:t>
      </w:r>
      <w:r>
        <w:t>сли отливки не подвергались сплошному неразрушающему контролю.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24. В случае если для алюминия, меди и их сплавов отсутствуют данные по пределу текучести и длительной прочности, то допускаемое напряжение определяется по следующей формуле:</w:t>
      </w:r>
    </w:p>
    <w:p w:rsidR="00000000" w:rsidRDefault="00A749A3">
      <w:pPr>
        <w:pStyle w:val="FORMATTEXT"/>
        <w:ind w:firstLine="568"/>
        <w:jc w:val="both"/>
      </w:pPr>
    </w:p>
    <w:p w:rsidR="00000000" w:rsidRDefault="008B2457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676275" cy="4191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A3">
        <w:t xml:space="preserve">. </w:t>
      </w:r>
    </w:p>
    <w:p w:rsidR="00000000" w:rsidRDefault="00A749A3">
      <w:pPr>
        <w:pStyle w:val="FORMATTEXT"/>
        <w:ind w:firstLine="568"/>
        <w:jc w:val="both"/>
      </w:pPr>
      <w:r>
        <w:lastRenderedPageBreak/>
        <w:t>25. При разработке (проектировании), изготовлении (производстве) оборудования из неметаллических материалов, для неметаллических материалов значения предела прочности и модуля упругости на разрыв соответствуют значениям, установленным</w:t>
      </w:r>
      <w:r>
        <w:t xml:space="preserve"> в проектно-конструкторской документации, и составляют: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для композита на основе углеровинга: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предел прочности </w:t>
      </w:r>
      <w:r w:rsidR="008B2457"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не менее 160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модуль упругости Е - не менее 11000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для композита на основе органоровинга: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предел прочности </w:t>
      </w:r>
      <w:r w:rsidR="008B2457"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не менее 170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модуль упругости Е - не менее 6500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для композита на основе стеклоровинга: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предел прочности </w:t>
      </w:r>
      <w:r w:rsidR="008B2457">
        <w:rPr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не менее 90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модуль упругости Е - не менее 5000 кгс/мм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26. В оборудовании в качестве связующего могут быть использованы термопластичные или реактопластичные полимерные материалы.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Температура отверждения (полимеризации) связующего должна быть ниже температуры размягчения материала неметаллическ</w:t>
      </w:r>
      <w:r>
        <w:t>ого связующего.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Температура размягчения материала должна быть не ниже 100°С.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27. Сварные соединения не должны иметь внешних или внутренних дефектов (повреждений), которые могут повлиять на безопасность оборудования. Минимальные значения механических хара</w:t>
      </w:r>
      <w:r>
        <w:t>ктеристик сварных соединений оборудования должны быть не ниже минимальных значений механических характеристик соединяемых материалов.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28. Входной контроль сварных соединений выполняется изготовителем оборудования. Методы проведения неразрушающего контроля</w:t>
      </w:r>
      <w:r>
        <w:t xml:space="preserve"> и его объем определяются разработчиком проекта оборудования исходя из необходимости более точного и полного выявления недопустимых дефектов с учетом особенности свойств материалов и указываются в проектной документации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29. При расчете на пр</w:t>
      </w:r>
      <w:r>
        <w:t xml:space="preserve">очность сварных соединений элементов оборудования значение допускаемого напряжения умножается на коэффициент прочности сварных швов </w:t>
      </w:r>
      <w:r w:rsidR="008B2457">
        <w:rPr>
          <w:noProof/>
          <w:position w:val="-7"/>
        </w:rPr>
        <w:drawing>
          <wp:inline distT="0" distB="0" distL="0" distR="0">
            <wp:extent cx="257175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Значение коэффициента прочности сварных швов определяется при расчете на прочность обо</w:t>
      </w:r>
      <w:r>
        <w:t>рудования в зависимости от материала, объема контроля, технологии сварки и конструкции сварного шва.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30. Для максимальных напряжений, возникающих в местах краевого эффекта или концентрации напряжений, определенных на основании численного анализа, коэффици</w:t>
      </w:r>
      <w:r>
        <w:t>енты запаса прочности устанавливаются в зависимости от механических характеристик применяемых материалов и вида напряженного состояния.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31. Экспериментальные испытания на прочность оборудования проводятся на образце. В процессе испытаний обеспечивается во</w:t>
      </w:r>
      <w:r>
        <w:t>зможность наблюдения за критическими зонами оборудования с помощью контрольно-измерительных средств, способных достоверно регистрировать деформации и напряжения.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32. Программа экспериментальных испытаний включает в себя: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испытания давлением на гермети</w:t>
      </w:r>
      <w:r>
        <w:t>чность и прочность для подтверждения отсутствия утечки рабочей среды или остаточных деформаций, превышающих допустимые значения;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б) испытания на ползучесть и усталость материалов, которые проводятся с учетом процессов эксплуатации оборудования;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дополн</w:t>
      </w:r>
      <w:r>
        <w:t>ительные испытания, которые учитывают действия других факторов и проводятся при необходимости.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33. При разработке (проектировании) оборудования устанавливаются технические эксплуатационные характеристики, минимизирующие возможность возникновения инцидента</w:t>
      </w:r>
      <w:r>
        <w:t xml:space="preserve"> аварии при его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34. Оборудование изготавливается (производится) из материалов и полуфабрикатов, предусмотренных проектной документацией и обеспечивающих его соответствие требованиям безопасности на протяжении всего срока службы.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35. Оборудо</w:t>
      </w:r>
      <w:r>
        <w:t>вание изготавливается (производится) из материалов и полуфабрикатов, имеющих предусмотренную договором поставки маркировку (без повреждений), обеспечивающую возможность идентификации с данными документации изготовителя материалов или полуфабрикатов.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36. Н</w:t>
      </w:r>
      <w:r>
        <w:t>а листах, плитах, трубах и поковках, используемых при изготовлении (производстве) оборудования, должна сохраняться маркировка изготовителя. Если происходит раскрой полуфабрикатов на части, то на каждую из них должна наноситься идентичная маркировка способо</w:t>
      </w:r>
      <w:r>
        <w:t>м, который применялся при нанесении маркировки изготовителем материалов.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37. При выборе материалов и (или) полуфабрикатов для изготовления (производства) оборудования необходимо: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определить показатели для проектных расчетов, а также основные характери</w:t>
      </w:r>
      <w:r>
        <w:t>стики материалов и их способность к обработке;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привести в технической документации данные о примененных при изготовлении (производстве) оборудования материалах.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38. При изготовлении (производстве) оборудования используются материалы: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обладающие св</w:t>
      </w:r>
      <w:r>
        <w:t>ойствами (пластичностью, прочностью), позволяющими использовать их в процессе эксплуатации и выдерживать условия испытаний оборудования. При выборе материала учитывается его хрупкость или трещиностойкость. При использовании хрупкого материала предусматрива</w:t>
      </w:r>
      <w:r>
        <w:t>ются меры по исключению хрупкого разрушения (увеличение коэффициента запаса прочности);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обладающие химической стойкостью к рабочей среде, для которой предназначено оборудование. Изменения химических и физических свойств материалов в течение всего назна</w:t>
      </w:r>
      <w:r>
        <w:t>ченного срока службы или назначенного ресурса оборудования не должны приводить к нарушению его безопасной работы;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пригодные для предусмотренных видов обработки;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выбираемые таким образом, чтобы при соединении их друг с другом обеспечивалась прочност</w:t>
      </w:r>
      <w:r>
        <w:t>ь оборудования в течение срока службы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39. Применяемый в оборудовании материал считается пластичным, если при испытании на растяжение его относительное удлинение после разрыва составляет не менее 14 процентов, а ударная вязкость, определенная</w:t>
      </w:r>
      <w:r>
        <w:t xml:space="preserve"> на образцах с концентратором типа KCV (с V-образным надрезом), составляет не менее 27 Дж/см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температуре выше 20 °С, но не выше минимально допустимой температуры.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40. В случае если при изготовлении (производстве) изм</w:t>
      </w:r>
      <w:r>
        <w:t>еняются характеристики материала или возникают остаточные напряжения, влияющие на безопасность оборудования, то проводится его термическая обработка. Вид термической обработки оборудования и ее режимы определяются разработчиком проекта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41. П</w:t>
      </w:r>
      <w:r>
        <w:t>ри изготовлении (производстве) оборудования и устройств безопасности изготовителем обеспечивается их соответствие характеристикам и параметрам, предусмотренным проектной документацией, в соответствии с требованиями безопасности технического регламента Тамо</w:t>
      </w:r>
      <w:r>
        <w:t xml:space="preserve">женного </w:t>
      </w:r>
      <w:r>
        <w:lastRenderedPageBreak/>
        <w:t>союза "О безопасности оборудования, работающего под избыточным давлением" (ТР ТС 032/2013) с учетом применяемых технологических процессов и системы контроля.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42. При изготовлении (производстве) деталей путем вальцовки, штамповки, закругления кромо</w:t>
      </w:r>
      <w:r>
        <w:t>к не допускаются изменение механических характеристик материалов, наличие повреждений, трещин и других дефектов, которые могут повлиять на безопасность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43. Элементы оборудования, собираемые вместе, должны обеспечивать безопасность оборудован</w:t>
      </w:r>
      <w:r>
        <w:t>ия и соответствовать его назначению. Все неразъемные или сварные соединения элементов оборудования должны быть доступны для неразрушающего контроля.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44. Оборудование, снабженное быстросъемными крышками, должно иметь устройства, исключающие возможность вкл</w:t>
      </w:r>
      <w:r>
        <w:t>ючения оборудования под давление при неполном закрытии крышки и открывания крышки при наличии в оборудовании избыточного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45. На котле устанавливаются приборы безопасности, обеспечивающие автоматическое отключение котла или его элементов при недо</w:t>
      </w:r>
      <w:r>
        <w:t>пустимых отклонениях от расчетных режимов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46. Элемент оборудования, внутренний объем которого ограничен запорной арматурой и давление в котором может повыситься сверх допустимого, оснащается предохранительными устройствами, автоматически пре</w:t>
      </w:r>
      <w:r>
        <w:t>дотвращающими повышение давления сверх допустимого путем выпуска рабочей среды в атмосферу или утилизационную систему.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47. В качестве предохранительных устройств применяются: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рычажно-грузовые предохранительные клапаны прямого действия;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пружинные п</w:t>
      </w:r>
      <w:r>
        <w:t>редохранительные клапаны прямого действия;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импульсные предохранительные устройства, состоящие из импульсного клапана и главного предохранительного клапана;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предохранительные устройства с разрушающимися мембранами (мембранные предохранительные устро</w:t>
      </w:r>
      <w:r>
        <w:t>йства).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48. Предохранительные устройства размещаются в местах, доступных для их обслуживания.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49. Отводящие трубопроводы предохранительных устройств и импульсные линии импульсных предохранительных устройств в местах возможного скопления конденсата оборуд</w:t>
      </w:r>
      <w:r>
        <w:t>уются дренажными трубопроводами для удаления конденсата.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Установка запорной арматуры или другой арматуры на дренажных трубопроводах не допускается. Среда, выходящая из предохранительных устройств и дренажей, отводится в безопасное место. Сбрасываемые взры</w:t>
      </w:r>
      <w:r>
        <w:t>вопожароопасные, технологические и токсичные среды группы 1 направляются в закрытые системы для дальнейшей утилизации, или в системы организованного сжигания, или в атмосферу - для газов плотностью по отношению к воздуху 0,8 и менее.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Запрещается объединят</w:t>
      </w:r>
      <w:r>
        <w:t>ь сбросы, содержащие вещества, которые способны при смешивании образовывать взрывоопасные смеси или нестабильные соединения.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50. Конструкция присоединительных трубопроводов предохранительных устройств (подводящих, отводящих и дренажных) должна исключать в</w:t>
      </w:r>
      <w:r>
        <w:t>озможность замерзания в них рабочей среды.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установке на одном патрубке или трубопроводе нескольких предохранительных устройств площадь поперечного сечения патрубка или трубопровода должна составлять не менее 1,25 суммарной площади сечения установленны</w:t>
      </w:r>
      <w:r>
        <w:t>х на нем предохранительных клапанов. При определении сечения присоединительного трубопровода длиной более 1000 мм учитывается значение его линейного сопротивления (потери давления).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51. Рычажно-грузовой предохранительный клапан или пружинный предохранител</w:t>
      </w:r>
      <w:r>
        <w:t xml:space="preserve">ьный клапан оборудуется устройством для проверки исправности их действия во время работы оборудования </w:t>
      </w:r>
      <w:r>
        <w:lastRenderedPageBreak/>
        <w:t>путем принудительного открытия.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Импульсный предохранительный клапан оборудуется устройством, позволяющими производить принудительное открытие предохранит</w:t>
      </w:r>
      <w:r>
        <w:t>ельного клапана дистанционно при помощи щита управления.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Конструкция пружинных предохранительных клапанов должна исключать возможность затяжки пружины сверх значения, установленного регулировкой на срабатывание при заданном давлении. Пружины предохранител</w:t>
      </w:r>
      <w:r>
        <w:t>ьных клапанов защищаются от недопустимого нагрева или охлаждения, а также от прямого воздействия рабочей среды.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52. Оборудование, рассчитанное на рабочее давление, которое меньше давления питающего его источника, оснащается на подводящем присоединительном</w:t>
      </w:r>
      <w:r>
        <w:t xml:space="preserve"> трубопроводе автоматическим редуцирующим устройством с манометром и предохранительным клапаном, установленными на стороне меньшего давления после редуцирующего устройства.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Редукционно-охладительные устройства обеспечивают автоматическое регулирование тем</w:t>
      </w:r>
      <w:r>
        <w:t>пературы. В случае установки обводной линии (байпаса) она также оснащается редуцирующим устройством.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53. Для группы сосудов, работающих при одном и том же давлении, допускается установка 1 редуцирующего устройства с манометром и предохранительным клапаном</w:t>
      </w:r>
      <w:r>
        <w:t xml:space="preserve"> на общем подводящем присоединительном трубопроводе до первого ответвления к одному из сосудов. В этом случае установка предохранительных устройств на самих сосудах необязательна, если в них исключена возможность повышения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 случае если автомати</w:t>
      </w:r>
      <w:r>
        <w:t>ческое редуцирующее устройство вследствие физических свойств рабочей среды не может надежно работать, допускается установка регулятора расхода, при этом предусматривается защита от повышения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54. Количество предохранительных клапанов, их размеры </w:t>
      </w:r>
      <w:r>
        <w:t>и пропускная способность определяются с таким расчетом, чтобы в оборудовании не создавалось избыточное давление, превышающее максимально допустимое рабочее давление: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более чем на 0,05 МПа - для сосудов, в которых избыточное давление составляет менее 0,</w:t>
      </w:r>
      <w:r>
        <w:t>3 МПа;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на 15 процентов - для сосудов, в которых избыточное давление составляет от 0,3 до 6 МПа включительно;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 10 процентов - для сосудов, в которых избыточное давление составляет более 6 МПа.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55. При работающих предохранительных клапанах превыше</w:t>
      </w:r>
      <w:r>
        <w:t>ние давления в сосуде допускается не более чем на 25 процентов от максимально допустимого рабочего давления при условии, что это превышение предусмотрено руководством (инструкцией) по эксплуатации сосуда.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56. Предохранительные клапаны должны обеспечивать </w:t>
      </w:r>
      <w:r>
        <w:t>защиту котлов, пароперегревателей, экономайзеров и трубопроводов от превышения в них давления более чем на 10 процентов от максимально допустимого рабочего давления. Превышение давления при полном открытии предохранительных клапанов более чем на 10 процент</w:t>
      </w:r>
      <w:r>
        <w:t>ов от максимально допустимого рабочего давления допускается в случае, если это предусмотрено расчетом на прочность котла, пароперегревателя, экономайзера и трубопровода.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57. На паровых котлах с рабочим давлением более 4 МПа (за исключением передвижных кот</w:t>
      </w:r>
      <w:r>
        <w:t>лов и котлов паропроизводительностью менее 35 т/ч) устанавливаются только импульсные предохранительные клапаны. На передвижных котельных установках не допускается установка рычажно-грузовых предохранительных клапанов.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58. На каждом паровом и водогрейном к</w:t>
      </w:r>
      <w:r>
        <w:t>отлах и отключаемом по рабочей среде пароперегревателе устанавливаются предохранительные клапаны. Количество и места их установки определяются при разработке (проектировании).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Суммарная пропускная способность устанавливаемых на котлах предохранительных ус</w:t>
      </w:r>
      <w:r>
        <w:t>тройств должна быть не менее номинальной производительности этого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59. Пропускная способность предохранительных клапанов подтверждается соответствующими испытаниями головного образца предохранительного клапана данной конструкции, проведенными</w:t>
      </w:r>
      <w:r>
        <w:t xml:space="preserve"> его изготовителем, и указывается в паспорте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60. Предохранительные устройства на паровых и водогрейных котлах устанавливаются на патрубках или трубопроводах, непосредственно присоединенных к котлам, следующим образом: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 паровых котлах с</w:t>
      </w:r>
      <w:r>
        <w:t xml:space="preserve"> естественной циркуляцией без пароперегревателя - на верхнем барабане или сухопарнике;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на паровых прямоточных котлах, а также на котлах с принудительной циркуляцией - на выходных коллекторах или выходном паропроводе;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 водогрейных котлах - на выхо</w:t>
      </w:r>
      <w:r>
        <w:t>дных коллекторах или барабане;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на промежуточных пароперегревателях возможна установка всех предохранительных устройств пароперегревателя на стороне входа пара;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в отключаемых по воде экономайзерах - не менее чем по 1 предохранительному устройству на</w:t>
      </w:r>
      <w:r>
        <w:t xml:space="preserve"> выходе и входе воды.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61. При наличии у котла неотключаемого пароперегревателя часть предохранительных клапанов с пропускной способностью не менее 50 процентов от номинальной производительности котла устанавливается на выходном коллекторе пароперегревател</w:t>
      </w:r>
      <w:r>
        <w:t>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62. На паровых котлах с рабочим давлением более 4 МПа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главной запорной арматуры, при этом у барабанных</w:t>
      </w:r>
      <w:r>
        <w:t xml:space="preserve"> котлов для 50 процентов клапанов по суммарной пропускной способности отбор пара для импульсов производится от барабана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нечетном количестве одинаковых клапанов допускается отбор пара для импульсов от барабана не менее чем для одной трети, но не</w:t>
      </w:r>
      <w:r>
        <w:t xml:space="preserve"> более чем для одной второй клапанов, установленных на паровом котле. На блочных установках в случае размещения предохранительных клапанов на паропроводе непосредственно у турбин допускается для импульсов всех предохранительных клапанов использовать перегр</w:t>
      </w:r>
      <w:r>
        <w:t>етый пар, при этом для 50 процентов клапанов подается дополнительный электрический импульс от контактного манометра, подключенного к барабану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нечетном количестве одинаковых предохранительных клапанов допускается подавать дополнительный электрич</w:t>
      </w:r>
      <w:r>
        <w:t>еский импульс от контактного манометра, подключенного к барабану котла, не менее чем для одной трети, но не более чем для одной второй клапанов.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63. Для отключаемых экономайзеров котлов места установки предохранительных клапанов, методика их регулировки и</w:t>
      </w:r>
      <w:r>
        <w:t xml:space="preserve"> величины давления их открытия определяются проектировщиком.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На прямоточных паровых котлах, у которых во время растопки или остановки котла первая (по ходу воды) часть поверхности нагрева отключается от остальной части поверхности нагрева запорными армату</w:t>
      </w:r>
      <w:r>
        <w:t>рами, необходимость установки, количество и размеры предохранительных клапанов для первой части поверхности нагрева определяются проектной документацией.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64. Мембранные предохранительные устройства устанавливаются на сосудах и трубопроводах: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если рыча</w:t>
      </w:r>
      <w:r>
        <w:t>жно-грузовые и пружинные предохранительные клапаны не могут быть применены вследствие их инерционности или по другим причинам;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перед предохранительными клапанами в случае, если предохранительные клапаны не могут надежно работать вследствие вредного воз</w:t>
      </w:r>
      <w:r>
        <w:t>действия рабочей среды (коррозии, эрозии, полимеризации, кристаллизации, прикипания, примерзания) или возможных утечек через закрытый клапан взрывопожароопасных, токсичных, экологически вредных веществ. В этом случае на оборудовании должно быть предусмотре</w:t>
      </w:r>
      <w:r>
        <w:t>но устройство, позволяющее контролировать исправность мембраны;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параллельно с предохранительными клапанами для увеличения пропускной способности систем сброса давления;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на выходной стороне предохранительных клапанов для предотвращения вредного возд</w:t>
      </w:r>
      <w:r>
        <w:t>ействия рабочих сред со стороны сбросной системы и для исключения влияния колебаний противодавления со стороны этой системы на надежность срабатывания предохранительных клапанов.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65. Необходимость и место установки мембранных предохранительных устройств, </w:t>
      </w:r>
      <w:r>
        <w:t>а также их конструкция определяются проектом оборудования. Предохранительные мембраны устанавливаются только в предназначенные для них узлы крепления.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Мембранные предохранительные устройства размещаются в местах, открытых и доступных для осмотра, их монта</w:t>
      </w:r>
      <w:r>
        <w:t>жа и демонтажа. Присоединительные трубопроводы защищаются от замерзания в них рабочей среды, а сами предохранительные устройства устанавливаются на патрубках или трубопроводах, непосредственно присоединенных к оборудованию.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При установке мембранного предо</w:t>
      </w:r>
      <w:r>
        <w:t>хранительного устройства последовательно с предохранительным клапаном (перед клапаном или за ним) полость между мембраной и предохранительным клапаном сообщается отводной трубкой с сигнальным манометром (для контроля исправности мембран).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Допускается уста</w:t>
      </w:r>
      <w:r>
        <w:t>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оборудования от превышения давления при любом положении переключающего устройства.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66. Для к</w:t>
      </w:r>
      <w:r>
        <w:t>онтроля уровня жидкости в оборудовании, имеющем границу раздела сред, применяются средства измерений уровня жидкой рабочей среды. Наряду с указателями уровня жидкости на оборудовании устанавливаются звуковые, световые и другие сигнализаторы и блокировки по</w:t>
      </w:r>
      <w:r>
        <w:t xml:space="preserve"> предельным уровням жидкости.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67. На паровом котле, за исключением прямоточного, и на обогреваемом пламенем или горючими газами сосуде, в которых возможно понижение уровня жидкости ниже допустимого, устанавливается не менее 2 указателей уровня жидкости пр</w:t>
      </w:r>
      <w:r>
        <w:t>ямого действия.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Допускается дополнительно в качестве дублирующих устанавливать указатели уровня жидкости непрямого действия. Количество и места установки указателей уровня жидкости в паровых котлах (в том числе со ступенчатым испарением в барабанах или с </w:t>
      </w:r>
      <w:r>
        <w:t>выносным сепаратором), за исключением прямоточных котлов, и в обогреваемых пламенем или горючими газами сосудах определяются проектом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68. Указатель уровня жидкости прямого действия должен иметь самостоятельное подключение к оборудованию. Доп</w:t>
      </w:r>
      <w:r>
        <w:t>ускается установка 2 указателей уровня жидкости прямого действия на соединительной трубе (колонке) диаметром не менее 70 мм.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Установка на уровнях жидкости прямого действия промежуточных фланцев и запорной арматуры, за исключением датчиков сигнализаторов п</w:t>
      </w:r>
      <w:r>
        <w:t>редельных уровней жидкости, не допускается. Указанное требование не относится к фланцам запорной арматуры, входящим в состав указателей уровня жидкости.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Подключение к указателю уровня жидкости прямого действия и его присоединительным трубам или штуцерам д</w:t>
      </w:r>
      <w:r>
        <w:t>ругих приборов не допускается, за исключением датчика сигнализатора предельных уровней жидкости, если при этом не нарушается работа указателя уровня жидкости.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69. Конфигурация труб, соединяющих указатели уровня жидкости с оборудованием, должна исключать о</w:t>
      </w:r>
      <w:r>
        <w:t>бразование в них водяных мешков и обеспечивать возможность очистки труб. Соединительные трубы должны быть защищены от теплового обогрева продуктами сгорания топлива и от замерзания.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70. Указатели уровня жидкости прямого действия располагаются и освещаются</w:t>
      </w:r>
      <w:r>
        <w:t xml:space="preserve"> так, чтобы уровень жидкости был виден с рабочего места обслуживающего персонала. На оборудовании с рабочим давлением более 4 МПа указатели уровня жидкости прямого действия снабжаются кожухами для защиты персонала в случае разрушения прозрачных пластин.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</w:t>
      </w:r>
      <w:r>
        <w:t>1. Ширина смотровой щели указателя уровня жидкости определяется проектом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72. Указатели уровня жидкости снабжаются запорной арматурой для отключения их от оборудования и для продувки. На запорной арматуре указываются (отлиты, выбиты или нанес</w:t>
      </w:r>
      <w:r>
        <w:t>ены краской) направления открытия и закрытия, а на кране дополнительно указывается положение его проходного отверстия. Внутренний диаметр прохода запорной арматуры должен быть не менее 8 мм. Для спуска воды при продувке указателей уровня жидкости предусмат</w:t>
      </w:r>
      <w:r>
        <w:t>риваются воронки с защитным приспособлением и отводной трубой для обеспечения слива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73. При давлении в оборудовании более 4,5 МПа указатели уровня жидкости снабжаются 2 последовательно расположенными комплектами запорных арматур для отключен</w:t>
      </w:r>
      <w:r>
        <w:t>ия их от оборудования.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74. В случае если расстояние от площадки, с которой производится наблюдение за уровнем жидкости в оборудовании, до указателя уровня жидкости прямого действия составляет более 6 м, а также если уровень жидкости не виден с рабочего ме</w:t>
      </w:r>
      <w:r>
        <w:t>ста обслуживающего персонала, устанавливаются 2 сниженных дистанционных указателя уровня жидкости. В этом случае на оборудовании допускается установка 1 указателя уровня жидкости прямого действия.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Сниженные дистанционные указатели уровня жидкости присоеди</w:t>
      </w:r>
      <w:r>
        <w:t>няются непосредственно к оборудованию отдельными штуцерами независимо от других указателей уровня жидкости и имеют успокоительные устройства.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75. На котлах-утилизаторах и энерготехнологических котлах дистанционные указатели уровня жидкости устанавливаются</w:t>
      </w:r>
      <w:r>
        <w:t xml:space="preserve"> на пульте (пультах) управления данными котлами.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76. Паровые котлы с электрообогревом оснащаются системой автоматического отключения электропитания при снижении уровня жидкости ниже предельно допустимого уровня.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77. Котлы оборудуются автоматическими звук</w:t>
      </w:r>
      <w:r>
        <w:t>овыми и световыми сигнализаторами верхнего и нижнего предельных уровней воды. Аналогичная сигнализация должна действовать по всем параметрам, по которым срабатывают на остановку автоматические устройства и приборы безопасности.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78. Паровые котлы независим</w:t>
      </w:r>
      <w:r>
        <w:t>о от типа и паропроизводительности оборудуются автоматическими регуляторами подачи питательной воды. Паровые котлы с температурой пара на выходе из основного или промежуточного пароперегревателя более 400°С оснащаются автоматическими устройствами для регул</w:t>
      </w:r>
      <w:r>
        <w:t>ирования температуры пара.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79. На котлах, имеющих пароперегреватель, на каждом паропроводе до главной запорной арматуры предусматриваются средства измерения температуры перегретого пара. На котлах с промежуточным перегревом пара средства измерения темпера</w:t>
      </w:r>
      <w:r>
        <w:t>туры устанавливаются на входе и выходе пара.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80. На котлах с естественной циркуляцией и перегревом пара с производительностью пара более 20 т/ч, прямоточных котлах с производительностью пара более 1 т/ч вместе с показывающими средствами измерений предусма</w:t>
      </w:r>
      <w:r>
        <w:t>триваются средства измерений с непрерывной регистрацией величины температуры перегретого пара.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81. На пароперегревателях с несколькими параллельными секциями помимо средств измерения величины температуры пара, устанавливаемых на общих паропроводах перегре</w:t>
      </w:r>
      <w:r>
        <w:t>того пара, устанавливаются средства периодических измерений величины температуры пара на выходе каждой секции, а на паровых котлах с температурой пара более 500°С - на выходной части змеевиков пароперегревателя по 1 средству измерения на каждый метр ширины</w:t>
      </w:r>
      <w:r>
        <w:t xml:space="preserve"> газохода.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82. На паровых котлах с производительностью пара более 400 т/ч на выходной части змеевиков пароперегревателей устанавливаются средства измерений с непрерывной регистрацией величины температуры пара. На паровых котлах с пароохладителями для регу</w:t>
      </w:r>
      <w:r>
        <w:t>лирования величины температуры перегрева пара до пароохладителя и после него устанавливаются средства измерений соответствующих величин.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83. На входе воды в экономайзер и выходе воды из экономайзера, а также на трубопроводах питательной воды паровых котло</w:t>
      </w:r>
      <w:r>
        <w:t>в без экономайзеров предусматриваются средства измерения величины температуры питательной воды.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84. На водогрейных котлах средства измерения температуры воды устанавливаются на входе </w:t>
      </w:r>
      <w:r>
        <w:lastRenderedPageBreak/>
        <w:t>воды в котел и на выходе воды из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85. На водогрейных котлах с про</w:t>
      </w:r>
      <w:r>
        <w:t>изводительностью пара более 4,19 т/ч устанавливаются регистрирующие средства измерения температуры воды на выходе из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86. Для контроля за температурой металла и предупреждения повышения ее сверх допустимых значений при растопках, остановках и маневр</w:t>
      </w:r>
      <w:r>
        <w:t>енных режимах котла предусматриваются средства измерения температуры стенок его элементов. Необходимость установки средств измерения температуры, их количество и размещение определяются разработчиком проекта котла.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87. Сосуды, работающие при изменяющейся </w:t>
      </w:r>
      <w:r>
        <w:t>температуре стенок, оборудуются средствами измерения температуры для контроля скорости и равномерности прогрева тела сосуда по длине и высоте, а также указателями тепловых перемещений. Необходимость оборудования сосудов средствами измерения температуры и у</w:t>
      </w:r>
      <w:r>
        <w:t>казателями тепловых перемещений, допустимая скорость прогрева и охлаждения сосудов определяются разработчиком проекта сосуда и указываются изготовителем в паспорте оборудования или в руководстве (инструкции) по эксплуатации.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88. Оборудование и его отдельн</w:t>
      </w:r>
      <w:r>
        <w:t>ые полости с разными значениями давления оснащаются средствами измерения давления прямого действия.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89. Паровые котлы с производительностью пара более 10 т/ч и водогрейные котлы с производительностью пара более 21 ГДж/ч должны быть оборудованы регистрирую</w:t>
      </w:r>
      <w:r>
        <w:t>щим средством измерения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90. Средства измерения давления размещаются: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на барабане котла;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на котле с пароперегревателем за пароперегревателем перед главной запорной арматурой;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на штуцере сосуда или на трубопроводе между сосудом и запор</w:t>
      </w:r>
      <w:r>
        <w:t>ной арматурой;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на прямоточном котле за перегревателем перед главным запорным органом.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91. На водогрейных котлах средства измерения давления размещаются на входе воды в котел и на выходе воды из котла перед запорной арматурой.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92. Класс точности средс</w:t>
      </w:r>
      <w:r>
        <w:t>тва измерения давления должен быть не ниже: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2,5 - при рабочем давлении не более 2,5 МПа;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1,5 - при рабочем давлении от 2,5 до 14 Мпа включительно;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1 - при рабочем давлении более 14 МПа.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93. При установке средства измерения давления на высоте б</w:t>
      </w:r>
      <w:r>
        <w:t>олее 5 м предусматривается дублирующее средство измерения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94. Конструкцией оборудования предусматривается возможность безопасной продувки, проверки и отключения средства измерения давления.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95. Тип арматуры, ее количество и место установки опре</w:t>
      </w:r>
      <w:r>
        <w:t>деляются разработчиком проекта оборудования исходя из обеспечения безопасности и предусмотренных проектом отключений оборудования и его элементов.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96. При групповой подаче питательной воды в котлы напор насоса выбирается с учетом требований технического р</w:t>
      </w:r>
      <w:r>
        <w:t xml:space="preserve">егламента Таможенного союза "О безопасности оборудования, работающего под избыточным давлением" (ТР ТС 032/2013), а также исходя из условия обеспечения питания котла с наибольшим рабочим давлением или с наибольшей потерей напора в трубопроводе питательной </w:t>
      </w:r>
      <w:r>
        <w:t>воды.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97. Подача воды питательными устройствами определяется по номинальной производительности пара котлов с учетом расхода воды на непрерывную или периодическую продувку, пароохлаждение, обеспечение функционирования редукционно-охладительных и </w:t>
      </w:r>
      <w:r>
        <w:lastRenderedPageBreak/>
        <w:t>охладитель</w:t>
      </w:r>
      <w:r>
        <w:t>ных устройств, а также с учетом возможности потери воды или пара.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98. Тип, характеристика, количество и схема включения питательных устройств обеспечивают безопасную эксплуатацию котла в процессе эксплуатации, включая аварийные остановки.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99. При разрабо</w:t>
      </w:r>
      <w:r>
        <w:t>тке (проектировании) трубопроводов необходимо: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для трубопроводов номинальным диаметром более 150 мм с температурой рабочей среды 300°С и более в проекте определить необходимое количество указателей перемещений для контроля за тепловым расширением трубо</w:t>
      </w:r>
      <w:r>
        <w:t>проводов и наблюдения за правильностью работы опорно-подвесной системы;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б) предусмотреть устройства для удаления конденсата в случаях, если внутри труб, транспортирующих парогазообразные рабочие среды, возможно его образование. Эти устройства должны быть </w:t>
      </w:r>
      <w:r>
        <w:t>расположены в нижних точках трубопроводов;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учесть возможность повреждений от нарушений гидравлического режима, а также от эрозионно-коррозионного износа;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предусмотреть меры и средства для снижения вибрации и исключения возможности аварийного разруш</w:t>
      </w:r>
      <w:r>
        <w:t>ения и разгерметизации трубопроводов, которые в процессе эксплуатации подвергаются вибрации;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д) предусмотреть устройства, отключающие ответвления трубопроводов в тех случаях, если в этих трубопроводах содержатся рабочие среды группы 1;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е) свести к миниму</w:t>
      </w:r>
      <w:r>
        <w:t>му опасность случайного выхода рабочей среды. Места отбора рабочей среды должны быть четко обозначены с указанием названия рабочей среды;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ж) разработать техническую документацию на подземные трубопроводы, содержащую сведения, необходимые для их безопасног</w:t>
      </w:r>
      <w:r>
        <w:t>о технического обслуживания, контроля и ремонта (марки стали, диаметр, толщина труб, протяженность трубопровода, расположение опор, компенсаторов, подвесок, арматуры, воздушников и дренажных устройств, сварных соединений с указанием расстояний между ними и</w:t>
      </w:r>
      <w:r>
        <w:t xml:space="preserve"> от них до колодцев и абонентских вводов, расположение указателей для контроля состояния трубопровода и параметров рабочей среды).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100. Конструкция барокамеры должна обеспечивать возможность осмотра (в том числе внутренней поверхности), очистки, промывки,</w:t>
      </w:r>
      <w:r>
        <w:t xml:space="preserve"> продувки и ремонта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101. При разработке (проектировании) барокамер учитываются нагрузки, возникающие при монтаже и под воздействием инерционных сил.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102. Длительность пребывания людей в барокамере определяется проектом и указывается в паспорт</w:t>
      </w:r>
      <w:r>
        <w:t>е. В случае длительного пребывания людей в барокамере предусматриваются отсеки с различным функциональным предназначением.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103. Проект оборудования должен предусматривать гермовводы или сальники высокого давления для электрических кабелей, обеспечивающие </w:t>
      </w:r>
      <w:r>
        <w:t>механическую прочность, аксиальную и радиальную герметичность, газоплотность гермоввода в целом и его токопроводящих элементов, а также электрическую прочность изоляции во всем диапазоне давлений в барокамере.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104. Конструкция барокамеры должна обеспечива</w:t>
      </w:r>
      <w:r>
        <w:t>ть возможность открывания барокамеры изнутри и снаружи. Не допускается применять запоры для закрытия дверей или крышек внутри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105. Для визуального или телевизионного наблюдения за обстановкой внутри барокамеры и для освещения внутреннего прост</w:t>
      </w:r>
      <w:r>
        <w:t>ранства проектом оборудования предусматриваются иллюминаторы, оборудованные наружной крышкой, предохраняющей стекло иллюминатора от механических повреждений.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При разработке (проектировании), изготовлении (производстве) иллюминаторов барокамер применяются </w:t>
      </w:r>
      <w:r>
        <w:t>светопропускающие материалы с запасом прочности не менее запаса прочности корпуса барокамеры и коэффициентом светопропускания не менее 85 процентов.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lastRenderedPageBreak/>
        <w:t>106. Проектом оборудования предусматриваются системы подачи воздуха и газоснабжения для следующих целей: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а) формирование газовой среды в барокамере;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б) обеспечение работы стационарной дыхательной системы;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в) поддержание и изменение давления в барокамере;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г) поддержание и изменение состава газовой среды в барокамере по кислороду и индифферентным газам;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д) </w:t>
      </w:r>
      <w:r>
        <w:t>шлюзование.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107. Системами подачи воздуха и газоснабжения обеспечиваются повышение давления в барокамере со скоростью не менее 0,2 МПа/мин для давления от 0,1 до 1,7 МПа включительно (1-17 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не менее 0,1 МПа/мин (</w:t>
      </w:r>
      <w:r>
        <w:t>1 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· мин) - для давления более 1,7 МПа (17 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и поддержание давления с точностью </w:t>
      </w:r>
      <w:r w:rsidR="008B2457">
        <w:rPr>
          <w:noProof/>
          <w:position w:val="-6"/>
        </w:rPr>
        <w:drawing>
          <wp:inline distT="0" distB="0" distL="0" distR="0">
            <wp:extent cx="142875" cy="152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0,025 МПа (0,25 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t>. Снижение давления в барокамере производится со скоростью 0,003-0,9 МПа/ч (0,03-9 кгс/см</w:t>
      </w:r>
      <w:r w:rsidR="008B2457">
        <w:rPr>
          <w:noProof/>
          <w:position w:val="-8"/>
        </w:rPr>
        <w:drawing>
          <wp:inline distT="0" distB="0" distL="0" distR="0">
            <wp:extent cx="104775" cy="2190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· ч);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108. Средства газового контроля барокамеры должны обеспечивать точность замеров содержания кислорода, гелия и диоксида угле</w:t>
      </w:r>
      <w:r>
        <w:t>рода, а также возможных вредных веществ.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109. Система и средства противопожарной защиты должны обеспечивать обнаружение начала пожара в барокамере или предпосылок возгорания (дым, бесконтрольное повышение температуры), подачу аварийного сигнала, а также т</w:t>
      </w:r>
      <w:r>
        <w:t>ушение обнаруженного пожара всеми имеющимися в барокамере средствами.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110. Средства автоматического управления должны обеспечивать безопасные условия пребывания людей внутри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111. Каждый отсек и шлюз барокамеры оснащается манометром, который у</w:t>
      </w:r>
      <w:r>
        <w:t>станавливается снаружи на штуцере, приваренном к корпусу барокамеры, или на щите управления системами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112. Силовые сети барокамеры должны иметь резервные источники электроэнергии, обеспечивающие бесперебойную работу элементов систем подачи воз</w:t>
      </w:r>
      <w:r>
        <w:t>духа и газоснабжения, систем и средств противопожарной защиты.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113. Вся коммутационно-защитная и пускорегулирующая аппаратура силового электрооборудования устанавливается вне барокамер. Силовые кабели в барокамере должны иметь негорючую изоляцию. Проект б</w:t>
      </w:r>
      <w:r>
        <w:t>арокамеры должен предусматривать наличие системы защиты от статического электричества, возможность заземления внутренних съемных металлических изделий, оборудования и корпуса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114. Проектом оборудования определяется необходимость установки осве</w:t>
      </w:r>
      <w:r>
        <w:t>щения. Светильники, устанавливаемые внутри барокамеры, должны быть герметичными, рассчитанными на рабочее давление среды.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115. Проектом оборудования предусматривается возможность применения средств связи с людьми, находящимися внутри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116. Тру</w:t>
      </w:r>
      <w:r>
        <w:t>бопроводы, паровые и водяные обогреватели, устанавливаемые внутри барокамеры, а также трубопроводы подачи сжатого воздуха и газовых смесей, устанавливаемые снаружи барокамеры, проектируются из бесшовных медных труб или труб из нержавеющей стали.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 xml:space="preserve">117. Для </w:t>
      </w:r>
      <w:r>
        <w:t>внутреннего оборудования барокамеры применяются негорючие (огнезащищенные) материалы, гарантированные от выделения вредных веществ в газовой среде барокамеры.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jc w:val="right"/>
      </w:pPr>
      <w:r>
        <w:t>Приложение N 3</w:t>
      </w:r>
    </w:p>
    <w:p w:rsidR="00000000" w:rsidRDefault="00A749A3">
      <w:pPr>
        <w:pStyle w:val="FORMATTEXT"/>
        <w:jc w:val="right"/>
      </w:pPr>
      <w:r>
        <w:t>к техническому регламенту</w:t>
      </w:r>
    </w:p>
    <w:p w:rsidR="00000000" w:rsidRDefault="00A749A3">
      <w:pPr>
        <w:pStyle w:val="FORMATTEXT"/>
        <w:jc w:val="right"/>
      </w:pPr>
      <w:r>
        <w:t>Таможенного союза "О безопасности</w:t>
      </w:r>
    </w:p>
    <w:p w:rsidR="00000000" w:rsidRDefault="00A749A3">
      <w:pPr>
        <w:pStyle w:val="FORMATTEXT"/>
        <w:jc w:val="right"/>
      </w:pPr>
      <w:r>
        <w:t>оборудования, работаю</w:t>
      </w:r>
      <w:r>
        <w:t>щего под</w:t>
      </w:r>
    </w:p>
    <w:p w:rsidR="00000000" w:rsidRDefault="00A749A3">
      <w:pPr>
        <w:pStyle w:val="FORMATTEXT"/>
        <w:jc w:val="right"/>
      </w:pPr>
      <w:r>
        <w:lastRenderedPageBreak/>
        <w:t>избыточным давлением"</w:t>
      </w:r>
    </w:p>
    <w:p w:rsidR="00000000" w:rsidRDefault="00A749A3">
      <w:pPr>
        <w:pStyle w:val="FORMATTEXT"/>
        <w:jc w:val="right"/>
      </w:pPr>
      <w:r>
        <w:t xml:space="preserve">(ТР ТС 032/2013)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Требования к отличительной окраске и идентификационной информации </w:t>
      </w:r>
    </w:p>
    <w:p w:rsidR="00000000" w:rsidRDefault="00A749A3">
      <w:pPr>
        <w:pStyle w:val="FORMATTEXT"/>
      </w:pPr>
      <w:r>
        <w:t xml:space="preserve">      </w:t>
      </w: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Баллоны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85"/>
        <w:gridCol w:w="2100"/>
        <w:gridCol w:w="2100"/>
        <w:gridCol w:w="150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газа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Окраска баллонов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 надписи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надписи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полосы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коричневый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аммиак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Аргон сырой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аргон сырой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Аргон технический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аргон технический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Аргон чистый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аргон чистый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ацетиле</w:t>
            </w: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бутилен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Нефтегаз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нефтегаз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темно-зеленая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сжатый воздух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коричневая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</w:t>
            </w:r>
            <w:r>
              <w:rPr>
                <w:sz w:val="18"/>
                <w:szCs w:val="18"/>
              </w:rPr>
              <w:t>ись азота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закись азота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голубая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кислород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 медицинский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голубая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кислород медицинский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Сероводород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сероводород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Сернистый ангидрид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сернистый ангидрид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</w:t>
            </w:r>
            <w:r>
              <w:rPr>
                <w:sz w:val="18"/>
                <w:szCs w:val="18"/>
              </w:rPr>
              <w:t xml:space="preserve">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Углекислота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углекислота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Фосген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Фреон-11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фреон-11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Фреон-12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фреон-12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Фреон-13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фреон-13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красные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Фреон-22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фреон</w:t>
            </w:r>
            <w:r>
              <w:rPr>
                <w:sz w:val="18"/>
                <w:szCs w:val="18"/>
              </w:rPr>
              <w:t xml:space="preserve">-22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желтые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Циклопропан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оранжевая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циклопропан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фиолетовая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этилен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 другие горючие газы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другие негорючие газы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черная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га</w:t>
            </w:r>
            <w:r>
              <w:rPr>
                <w:sz w:val="18"/>
                <w:szCs w:val="18"/>
              </w:rPr>
              <w:t xml:space="preserve">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желтый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749A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749A3">
      <w:pPr>
        <w:pStyle w:val="FORMATTEXT"/>
        <w:ind w:firstLine="568"/>
        <w:jc w:val="both"/>
      </w:pPr>
      <w:r>
        <w:t>Примечания: 1. Надпись наносится по окружности баллона на длину не менее 1/3 окружности, а полоса - по всей окружности. При этом высота букв на баллонах вместимостью более 12 л должна быть 60 мм, а ширина полосы - 25 мм. На баллонах вмести</w:t>
      </w:r>
      <w:r>
        <w:t>мостью до 12 л размеры букв и полос должны определяться в зависимости от величины боковой поверхности баллонов.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ind w:firstLine="568"/>
        <w:jc w:val="both"/>
      </w:pPr>
      <w:r>
        <w:t>2. Допускается окраска в серый или желтый цвет малолитражных баллонов (до 12 л) для дыхательных аппаратов и самоспасателей со сжатым воздухом.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HEADERTEXT"/>
        <w:rPr>
          <w:b/>
          <w:bCs/>
        </w:rPr>
      </w:pPr>
    </w:p>
    <w:p w:rsidR="00000000" w:rsidRDefault="00A749A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Автоцистерны для транспортировки сжиженных углеводородных газов </w:t>
      </w:r>
    </w:p>
    <w:p w:rsidR="00000000" w:rsidRDefault="00A749A3">
      <w:pPr>
        <w:pStyle w:val="FORMATTEXT"/>
        <w:ind w:firstLine="568"/>
        <w:jc w:val="both"/>
      </w:pPr>
      <w:r>
        <w:t>Наружная поверхность автоцистерн для транспортировки сжиженных углеводородных газов окрашивается в светло-серый цвет. На обе боковые стороны сосуда наносится отличительная полоса красн</w:t>
      </w:r>
      <w:r>
        <w:t>ого цвета шириной не менее 200 мм с надписью черного цвета над ней "Пропан - огнеопасно". На заднее днище сосуда наносится надпись черного цвета "огнеопасно".</w:t>
      </w:r>
    </w:p>
    <w:p w:rsidR="00000000" w:rsidRDefault="00A749A3">
      <w:pPr>
        <w:pStyle w:val="FORMATTEXT"/>
        <w:ind w:firstLine="568"/>
        <w:jc w:val="both"/>
      </w:pPr>
    </w:p>
    <w:p w:rsidR="00000000" w:rsidRDefault="00A749A3">
      <w:pPr>
        <w:pStyle w:val="FORMATTEXT"/>
        <w:jc w:val="both"/>
      </w:pPr>
      <w:r>
        <w:t>Электронный текст документа</w:t>
      </w:r>
    </w:p>
    <w:p w:rsidR="00000000" w:rsidRDefault="00A749A3">
      <w:pPr>
        <w:pStyle w:val="FORMATTEXT"/>
        <w:jc w:val="both"/>
      </w:pPr>
      <w:r>
        <w:t>подготовлен АО "Кодекс" и сверен по:</w:t>
      </w:r>
    </w:p>
    <w:p w:rsidR="00000000" w:rsidRDefault="00A749A3">
      <w:pPr>
        <w:pStyle w:val="FORMATTEXT"/>
        <w:jc w:val="both"/>
      </w:pPr>
      <w:r>
        <w:t>Официальный сайт</w:t>
      </w:r>
    </w:p>
    <w:p w:rsidR="00000000" w:rsidRDefault="00A749A3">
      <w:pPr>
        <w:pStyle w:val="FORMATTEXT"/>
        <w:jc w:val="both"/>
      </w:pPr>
      <w:r>
        <w:t>Евразийской эк</w:t>
      </w:r>
      <w:r>
        <w:t>ономической комиссии</w:t>
      </w:r>
    </w:p>
    <w:p w:rsidR="00000000" w:rsidRDefault="00A749A3">
      <w:pPr>
        <w:pStyle w:val="FORMATTEXT"/>
        <w:jc w:val="both"/>
      </w:pPr>
      <w:r>
        <w:t>http://www.eurasiancommission.org,</w:t>
      </w:r>
    </w:p>
    <w:p w:rsidR="00000000" w:rsidRDefault="00A749A3">
      <w:pPr>
        <w:pStyle w:val="FORMATTEXT"/>
        <w:jc w:val="both"/>
      </w:pPr>
      <w:r>
        <w:t>09.07.2013</w:t>
      </w:r>
    </w:p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"kodeks://link/d?nd=499031170"\o"’’ТР ТС 032/2013 Технический регламент Таможенного союза ’’О безопасности оборудования, работающего под ...’’</w:instrText>
      </w:r>
    </w:p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решением Совета ЕЭК от 02.07.</w:instrText>
      </w:r>
      <w:r>
        <w:rPr>
          <w:rFonts w:ascii="Arial, sans-serif" w:hAnsi="Arial, sans-serif"/>
          <w:sz w:val="24"/>
          <w:szCs w:val="24"/>
        </w:rPr>
        <w:instrText>2013 N 41)</w:instrText>
      </w:r>
    </w:p>
    <w:p w:rsidR="00000000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Технический регламент Таможенного союза от 02.07.2013 N ТР ТС ...</w:instrText>
      </w:r>
    </w:p>
    <w:p w:rsidR="00A749A3" w:rsidRDefault="00A749A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01.02.2014"</w:instrText>
      </w:r>
      <w:r w:rsidR="008B245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ТР ТС 032/2013 Технический регламент Таможенного союза "О безопасности оборудования, работающего под избыточным давлением" (Источник: ИСС "ТЕХЭКСПЕР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A749A3">
      <w:headerReference w:type="default" r:id="rId31"/>
      <w:footerReference w:type="default" r:id="rId32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A3" w:rsidRDefault="00A749A3">
      <w:pPr>
        <w:spacing w:after="0" w:line="240" w:lineRule="auto"/>
      </w:pPr>
      <w:r>
        <w:separator/>
      </w:r>
    </w:p>
  </w:endnote>
  <w:endnote w:type="continuationSeparator" w:id="0">
    <w:p w:rsidR="00A749A3" w:rsidRDefault="00A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49A3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:rsidR="00000000" w:rsidRDefault="00A749A3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A3" w:rsidRDefault="00A749A3">
      <w:pPr>
        <w:spacing w:after="0" w:line="240" w:lineRule="auto"/>
      </w:pPr>
      <w:r>
        <w:separator/>
      </w:r>
    </w:p>
  </w:footnote>
  <w:footnote w:type="continuationSeparator" w:id="0">
    <w:p w:rsidR="00A749A3" w:rsidRDefault="00A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49A3">
    <w:pPr>
      <w:pStyle w:val="COLTOP"/>
      <w:rPr>
        <w:rFonts w:cs="Arial, sans-serif"/>
      </w:rPr>
    </w:pPr>
    <w:r>
      <w:rPr>
        <w:rFonts w:cs="Arial, sans-serif"/>
      </w:rPr>
      <w:t>ТР ТС 032/2013 Технический регламент Таможенного союза "О безопасности оборудования, работающего под избыточным давлением"</w:t>
    </w:r>
  </w:p>
  <w:p w:rsidR="00000000" w:rsidRDefault="00A749A3">
    <w:pPr>
      <w:pStyle w:val="COLTOP"/>
    </w:pPr>
    <w:r>
      <w:rPr>
        <w:rFonts w:cs="Arial, sans-serif"/>
        <w:i/>
        <w:iCs/>
      </w:rPr>
      <w:t>Техниче</w:t>
    </w:r>
    <w:r>
      <w:rPr>
        <w:rFonts w:cs="Arial, sans-serif"/>
        <w:i/>
        <w:iCs/>
      </w:rPr>
      <w:t>ский регламент Таможенного союза от 02.07.2013 N ТР ТС 032/2013</w:t>
    </w:r>
  </w:p>
  <w:p w:rsidR="00000000" w:rsidRDefault="00A749A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7"/>
    <w:rsid w:val="008B2457"/>
    <w:rsid w:val="00A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E6C9C-FEBC-4B6A-B59B-A3240EC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18471</Words>
  <Characters>105290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ТР ТС 032/2013 Технический регламент Таможенного союза "О безопасности оборудования, работающего под избыточным давлением" </vt:lpstr>
    </vt:vector>
  </TitlesOfParts>
  <Company/>
  <LinksUpToDate>false</LinksUpToDate>
  <CharactersWithSpaces>123514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 ТС 032/2013 Технический регламент Таможенного союза "О безопасности оборудования, работающего под избыточным давлением"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2019-08-27T07:02:00Z</dcterms:created>
  <dcterms:modified xsi:type="dcterms:W3CDTF">2019-08-27T07:02:00Z</dcterms:modified>
</cp:coreProperties>
</file>